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E3EE46" w14:textId="77777777" w:rsidR="00B94447" w:rsidRDefault="00B94447" w:rsidP="004C46B1">
      <w:pPr>
        <w:pStyle w:val="NormalWeb"/>
        <w:spacing w:before="0" w:beforeAutospacing="0" w:after="120" w:afterAutospacing="0"/>
        <w:rPr>
          <w:rStyle w:val="Strong"/>
          <w:rFonts w:eastAsiaTheme="majorEastAsia"/>
          <w:color w:val="000000"/>
          <w:sz w:val="28"/>
        </w:rPr>
      </w:pPr>
      <w:r w:rsidRPr="00B94447">
        <w:rPr>
          <w:rStyle w:val="Strong"/>
          <w:rFonts w:eastAsiaTheme="majorEastAsia"/>
          <w:color w:val="000000"/>
          <w:sz w:val="28"/>
        </w:rPr>
        <w:t>Dowry and Its Penalization in the Framework of India’s Recent Criminal Laws</w:t>
      </w:r>
    </w:p>
    <w:p w14:paraId="1EB0810D" w14:textId="303673A8" w:rsidR="00B027A1" w:rsidRPr="00B027A1" w:rsidRDefault="00B40A52" w:rsidP="004C46B1">
      <w:pPr>
        <w:pStyle w:val="NormalWeb"/>
        <w:spacing w:before="0" w:beforeAutospacing="0" w:after="120" w:afterAutospacing="0"/>
        <w:rPr>
          <w:rFonts w:eastAsiaTheme="majorEastAsia"/>
          <w:bCs/>
          <w:color w:val="000000"/>
        </w:rPr>
      </w:pPr>
      <w:r w:rsidRPr="00B027A1">
        <w:rPr>
          <w:rStyle w:val="Strong"/>
          <w:rFonts w:eastAsiaTheme="majorEastAsia"/>
          <w:bCs w:val="0"/>
          <w:color w:val="000000"/>
        </w:rPr>
        <w:t xml:space="preserve">R. </w:t>
      </w:r>
      <w:proofErr w:type="spellStart"/>
      <w:proofErr w:type="gramStart"/>
      <w:r w:rsidRPr="00B027A1">
        <w:rPr>
          <w:rStyle w:val="Strong"/>
          <w:rFonts w:eastAsiaTheme="majorEastAsia"/>
          <w:bCs w:val="0"/>
          <w:color w:val="000000"/>
        </w:rPr>
        <w:t>Prerna</w:t>
      </w:r>
      <w:proofErr w:type="spellEnd"/>
      <w:r w:rsidR="00322028" w:rsidRPr="00B027A1">
        <w:rPr>
          <w:rFonts w:eastAsiaTheme="majorEastAsia"/>
          <w:bCs/>
          <w:color w:val="000000"/>
        </w:rPr>
        <w:t xml:space="preserve"> </w:t>
      </w:r>
      <w:proofErr w:type="gramEnd"/>
      <w:r w:rsidR="004C46B1">
        <w:rPr>
          <w:rStyle w:val="FootnoteReference"/>
          <w:rFonts w:eastAsiaTheme="majorEastAsia"/>
          <w:bCs/>
          <w:color w:val="000000"/>
        </w:rPr>
        <w:footnoteReference w:id="1"/>
      </w:r>
      <w:r w:rsidR="004C46B1">
        <w:rPr>
          <w:rFonts w:eastAsiaTheme="majorEastAsia"/>
          <w:bCs/>
          <w:color w:val="000000"/>
        </w:rPr>
        <w:t xml:space="preserve">, </w:t>
      </w:r>
      <w:proofErr w:type="spellStart"/>
      <w:r w:rsidRPr="00B027A1">
        <w:rPr>
          <w:rStyle w:val="Strong"/>
          <w:rFonts w:eastAsiaTheme="majorEastAsia"/>
          <w:bCs w:val="0"/>
          <w:color w:val="000000"/>
        </w:rPr>
        <w:t>Ankita</w:t>
      </w:r>
      <w:proofErr w:type="spellEnd"/>
      <w:r w:rsidRPr="00B027A1">
        <w:rPr>
          <w:rStyle w:val="Strong"/>
          <w:rFonts w:eastAsiaTheme="majorEastAsia"/>
          <w:bCs w:val="0"/>
          <w:color w:val="000000"/>
        </w:rPr>
        <w:t xml:space="preserve"> Sharma</w:t>
      </w:r>
      <w:r w:rsidR="004C46B1">
        <w:rPr>
          <w:rStyle w:val="FootnoteReference"/>
          <w:rFonts w:eastAsiaTheme="majorEastAsia"/>
          <w:b/>
          <w:color w:val="000000"/>
        </w:rPr>
        <w:footnoteReference w:id="2"/>
      </w:r>
    </w:p>
    <w:p w14:paraId="38A9832F" w14:textId="77777777" w:rsidR="00B027A1" w:rsidRPr="00B027A1" w:rsidRDefault="00B027A1" w:rsidP="00B027A1">
      <w:pPr>
        <w:pStyle w:val="NormalWeb"/>
        <w:pBdr>
          <w:bottom w:val="single" w:sz="4" w:space="1" w:color="auto"/>
        </w:pBdr>
        <w:spacing w:before="0" w:beforeAutospacing="0" w:after="120" w:afterAutospacing="0"/>
        <w:rPr>
          <w:bCs/>
          <w:lang w:val="en-US"/>
        </w:rPr>
      </w:pPr>
    </w:p>
    <w:p w14:paraId="44FDE5BE" w14:textId="1241C3F5" w:rsidR="00DF5483" w:rsidRPr="00B027A1" w:rsidRDefault="00B027A1" w:rsidP="00B027A1">
      <w:pPr>
        <w:pStyle w:val="NormalWeb"/>
        <w:spacing w:before="0" w:beforeAutospacing="0" w:after="120" w:afterAutospacing="0"/>
        <w:rPr>
          <w:rStyle w:val="Strong"/>
          <w:rFonts w:eastAsiaTheme="majorEastAsia"/>
          <w:color w:val="000000"/>
        </w:rPr>
      </w:pPr>
      <w:r w:rsidRPr="00B027A1">
        <w:rPr>
          <w:rStyle w:val="Strong"/>
          <w:rFonts w:eastAsiaTheme="majorEastAsia"/>
          <w:color w:val="000000"/>
        </w:rPr>
        <w:t>ABSTRACT</w:t>
      </w:r>
    </w:p>
    <w:p w14:paraId="50707B08" w14:textId="23AA422D" w:rsidR="00DF5483" w:rsidRPr="00B027A1" w:rsidRDefault="00DF5483" w:rsidP="00B027A1">
      <w:pPr>
        <w:pStyle w:val="NormalWeb"/>
        <w:spacing w:before="0" w:beforeAutospacing="0" w:after="120" w:afterAutospacing="0"/>
        <w:jc w:val="both"/>
        <w:rPr>
          <w:rStyle w:val="Strong"/>
          <w:rFonts w:eastAsiaTheme="majorEastAsia"/>
          <w:b w:val="0"/>
          <w:bCs w:val="0"/>
          <w:iCs/>
          <w:color w:val="000000"/>
        </w:rPr>
      </w:pPr>
      <w:r w:rsidRPr="00B027A1">
        <w:rPr>
          <w:rStyle w:val="Strong"/>
          <w:rFonts w:eastAsiaTheme="majorEastAsia"/>
          <w:b w:val="0"/>
          <w:bCs w:val="0"/>
          <w:iCs/>
          <w:color w:val="000000"/>
        </w:rPr>
        <w:t>The practice of dowry in India, historically rooted in marriage traditions as a form of economic support for women, has evolved into a severe social issue with adverse effects on society. This paper examines the transformation of the dowry system and the impact of new criminal laws aimed at curbing dowry-related offenses. Despite legal reforms like the Dowry Prohibition Act of 1961 and amendments to the Indian Penal Code</w:t>
      </w:r>
      <w:proofErr w:type="gramStart"/>
      <w:r w:rsidRPr="00B027A1">
        <w:rPr>
          <w:rStyle w:val="Strong"/>
          <w:rFonts w:eastAsiaTheme="majorEastAsia"/>
          <w:b w:val="0"/>
          <w:bCs w:val="0"/>
          <w:iCs/>
          <w:color w:val="000000"/>
        </w:rPr>
        <w:t>,1860</w:t>
      </w:r>
      <w:proofErr w:type="gramEnd"/>
      <w:r w:rsidRPr="00B027A1">
        <w:rPr>
          <w:rStyle w:val="Strong"/>
          <w:rFonts w:eastAsiaTheme="majorEastAsia"/>
          <w:b w:val="0"/>
          <w:bCs w:val="0"/>
          <w:iCs/>
          <w:color w:val="000000"/>
        </w:rPr>
        <w:t xml:space="preserve">, dowry practices persist due to deep-seated cultural norms and economic pressures. Recent legislative efforts, including the introduction of the </w:t>
      </w:r>
      <w:proofErr w:type="spellStart"/>
      <w:r w:rsidRPr="00B027A1">
        <w:rPr>
          <w:rStyle w:val="Strong"/>
          <w:rFonts w:eastAsiaTheme="majorEastAsia"/>
          <w:b w:val="0"/>
          <w:bCs w:val="0"/>
          <w:iCs/>
          <w:color w:val="000000"/>
        </w:rPr>
        <w:t>Bharatiya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Nyaya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Sanhita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Bharatiya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Sakshya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Adhiniyam</w:t>
      </w:r>
      <w:proofErr w:type="spellEnd"/>
      <w:r w:rsidRPr="00B027A1">
        <w:rPr>
          <w:rStyle w:val="Strong"/>
          <w:rFonts w:eastAsiaTheme="majorEastAsia"/>
          <w:b w:val="0"/>
          <w:bCs w:val="0"/>
          <w:iCs/>
          <w:color w:val="000000"/>
        </w:rPr>
        <w:t xml:space="preserve">, and </w:t>
      </w:r>
      <w:proofErr w:type="spellStart"/>
      <w:r w:rsidRPr="00B027A1">
        <w:rPr>
          <w:rStyle w:val="Strong"/>
          <w:rFonts w:eastAsiaTheme="majorEastAsia"/>
          <w:b w:val="0"/>
          <w:bCs w:val="0"/>
          <w:iCs/>
          <w:color w:val="000000"/>
        </w:rPr>
        <w:t>Bharatiya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Nagarik</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Suraksha</w:t>
      </w:r>
      <w:proofErr w:type="spellEnd"/>
      <w:r w:rsidRPr="00B027A1">
        <w:rPr>
          <w:rStyle w:val="Strong"/>
          <w:rFonts w:eastAsiaTheme="majorEastAsia"/>
          <w:b w:val="0"/>
          <w:bCs w:val="0"/>
          <w:iCs/>
          <w:color w:val="000000"/>
        </w:rPr>
        <w:t xml:space="preserve"> </w:t>
      </w:r>
      <w:proofErr w:type="spellStart"/>
      <w:r w:rsidRPr="00B027A1">
        <w:rPr>
          <w:rStyle w:val="Strong"/>
          <w:rFonts w:eastAsiaTheme="majorEastAsia"/>
          <w:b w:val="0"/>
          <w:bCs w:val="0"/>
          <w:iCs/>
          <w:color w:val="000000"/>
        </w:rPr>
        <w:t>Sanhita</w:t>
      </w:r>
      <w:proofErr w:type="spellEnd"/>
      <w:r w:rsidRPr="00B027A1">
        <w:rPr>
          <w:rStyle w:val="Strong"/>
          <w:rFonts w:eastAsiaTheme="majorEastAsia"/>
          <w:b w:val="0"/>
          <w:bCs w:val="0"/>
          <w:iCs/>
          <w:color w:val="000000"/>
        </w:rPr>
        <w:t xml:space="preserve"> in 2023, reflect an </w:t>
      </w:r>
      <w:proofErr w:type="spellStart"/>
      <w:r w:rsidRPr="00B027A1">
        <w:rPr>
          <w:rStyle w:val="Strong"/>
          <w:rFonts w:eastAsiaTheme="majorEastAsia"/>
          <w:b w:val="0"/>
          <w:bCs w:val="0"/>
          <w:iCs/>
          <w:color w:val="000000"/>
        </w:rPr>
        <w:t>ongoing</w:t>
      </w:r>
      <w:proofErr w:type="spellEnd"/>
      <w:r w:rsidRPr="00B027A1">
        <w:rPr>
          <w:rStyle w:val="Strong"/>
          <w:rFonts w:eastAsiaTheme="majorEastAsia"/>
          <w:b w:val="0"/>
          <w:bCs w:val="0"/>
          <w:iCs/>
          <w:color w:val="000000"/>
        </w:rPr>
        <w:t xml:space="preserve"> commitment to address dowry crimes. These new laws maintain core principles of deterrence, punishment, and victim protection, indicating a continued evolution in legal strategies to combat this entrenched social problem and enhance the legal framework for women's rights in India.</w:t>
      </w:r>
    </w:p>
    <w:p w14:paraId="55B98632" w14:textId="33398868" w:rsidR="00502051" w:rsidRPr="00B027A1" w:rsidRDefault="00B027A1" w:rsidP="00B027A1">
      <w:pPr>
        <w:pStyle w:val="NormalWeb"/>
        <w:spacing w:before="0" w:beforeAutospacing="0" w:after="120" w:afterAutospacing="0"/>
        <w:jc w:val="both"/>
        <w:rPr>
          <w:rStyle w:val="Strong"/>
          <w:rFonts w:eastAsiaTheme="majorEastAsia"/>
          <w:b w:val="0"/>
          <w:bCs w:val="0"/>
          <w:iCs/>
          <w:color w:val="000000"/>
        </w:rPr>
      </w:pPr>
      <w:r w:rsidRPr="00B027A1">
        <w:rPr>
          <w:rStyle w:val="Strong"/>
          <w:rFonts w:eastAsiaTheme="majorEastAsia"/>
          <w:bCs w:val="0"/>
          <w:iCs/>
          <w:color w:val="000000"/>
        </w:rPr>
        <w:t>KEYWORDS</w:t>
      </w:r>
      <w:r w:rsidR="00502051" w:rsidRPr="00B027A1">
        <w:rPr>
          <w:rStyle w:val="Strong"/>
          <w:rFonts w:eastAsiaTheme="majorEastAsia"/>
          <w:bCs w:val="0"/>
          <w:iCs/>
          <w:color w:val="000000"/>
        </w:rPr>
        <w:t>:</w:t>
      </w:r>
      <w:r w:rsidR="00502051" w:rsidRPr="00B027A1">
        <w:rPr>
          <w:rStyle w:val="Strong"/>
          <w:rFonts w:eastAsiaTheme="majorEastAsia"/>
          <w:b w:val="0"/>
          <w:bCs w:val="0"/>
          <w:iCs/>
          <w:color w:val="000000"/>
        </w:rPr>
        <w:t xml:space="preserve"> Dowry, Dowry system, Domestic violence, Women’s rights, </w:t>
      </w:r>
      <w:proofErr w:type="spellStart"/>
      <w:r w:rsidR="00502051" w:rsidRPr="00B027A1">
        <w:rPr>
          <w:rStyle w:val="Strong"/>
          <w:rFonts w:eastAsiaTheme="majorEastAsia"/>
          <w:b w:val="0"/>
          <w:bCs w:val="0"/>
          <w:iCs/>
          <w:color w:val="000000"/>
        </w:rPr>
        <w:t>Bharatiya</w:t>
      </w:r>
      <w:proofErr w:type="spellEnd"/>
      <w:r w:rsidR="00502051" w:rsidRPr="00B027A1">
        <w:rPr>
          <w:rStyle w:val="Strong"/>
          <w:rFonts w:eastAsiaTheme="majorEastAsia"/>
          <w:b w:val="0"/>
          <w:bCs w:val="0"/>
          <w:iCs/>
          <w:color w:val="000000"/>
        </w:rPr>
        <w:t xml:space="preserve"> </w:t>
      </w:r>
      <w:proofErr w:type="spellStart"/>
      <w:r w:rsidR="00502051" w:rsidRPr="00B027A1">
        <w:rPr>
          <w:rStyle w:val="Strong"/>
          <w:rFonts w:eastAsiaTheme="majorEastAsia"/>
          <w:b w:val="0"/>
          <w:bCs w:val="0"/>
          <w:iCs/>
          <w:color w:val="000000"/>
        </w:rPr>
        <w:t>Nyaya</w:t>
      </w:r>
      <w:proofErr w:type="spellEnd"/>
      <w:r w:rsidR="00502051" w:rsidRPr="00B027A1">
        <w:rPr>
          <w:rStyle w:val="Strong"/>
          <w:rFonts w:eastAsiaTheme="majorEastAsia"/>
          <w:b w:val="0"/>
          <w:bCs w:val="0"/>
          <w:iCs/>
          <w:color w:val="000000"/>
        </w:rPr>
        <w:t xml:space="preserve"> </w:t>
      </w:r>
      <w:proofErr w:type="spellStart"/>
      <w:r w:rsidR="00502051" w:rsidRPr="00B027A1">
        <w:rPr>
          <w:rStyle w:val="Strong"/>
          <w:rFonts w:eastAsiaTheme="majorEastAsia"/>
          <w:b w:val="0"/>
          <w:bCs w:val="0"/>
          <w:iCs/>
          <w:color w:val="000000"/>
        </w:rPr>
        <w:t>Sanhita</w:t>
      </w:r>
      <w:proofErr w:type="spellEnd"/>
      <w:r w:rsidR="00502051" w:rsidRPr="00B027A1">
        <w:rPr>
          <w:rStyle w:val="Strong"/>
          <w:rFonts w:eastAsiaTheme="majorEastAsia"/>
          <w:b w:val="0"/>
          <w:bCs w:val="0"/>
          <w:iCs/>
          <w:color w:val="000000"/>
        </w:rPr>
        <w:t xml:space="preserve"> </w:t>
      </w:r>
    </w:p>
    <w:p w14:paraId="4F1F60ED" w14:textId="15B3A3DD" w:rsidR="00AB11CF" w:rsidRPr="00B027A1" w:rsidRDefault="00B027A1" w:rsidP="00B027A1">
      <w:pPr>
        <w:pStyle w:val="NormalWeb"/>
        <w:spacing w:before="0" w:beforeAutospacing="0" w:after="120" w:afterAutospacing="0"/>
        <w:rPr>
          <w:rStyle w:val="Strong"/>
          <w:rFonts w:eastAsiaTheme="majorEastAsia"/>
          <w:color w:val="000000"/>
        </w:rPr>
      </w:pPr>
      <w:r w:rsidRPr="00B027A1">
        <w:rPr>
          <w:rStyle w:val="Strong"/>
          <w:rFonts w:eastAsiaTheme="majorEastAsia"/>
          <w:color w:val="000000"/>
        </w:rPr>
        <w:t xml:space="preserve">INTRODUCTION </w:t>
      </w:r>
    </w:p>
    <w:p w14:paraId="6B9F1792" w14:textId="77777777" w:rsidR="00AB11CF" w:rsidRPr="00B027A1" w:rsidRDefault="00AB11CF" w:rsidP="00B027A1">
      <w:pPr>
        <w:pStyle w:val="NormalWeb"/>
        <w:spacing w:before="0" w:beforeAutospacing="0" w:after="120" w:afterAutospacing="0"/>
        <w:jc w:val="both"/>
        <w:rPr>
          <w:color w:val="000000" w:themeColor="text1"/>
        </w:rPr>
      </w:pPr>
      <w:r w:rsidRPr="00B027A1">
        <w:rPr>
          <w:color w:val="000000" w:themeColor="text1"/>
        </w:rPr>
        <w:t xml:space="preserve">In Indian society, marriage rituals play </w:t>
      </w:r>
      <w:r w:rsidRPr="00B027A1">
        <w:rPr>
          <w:rStyle w:val="issue-underline"/>
          <w:rFonts w:eastAsiaTheme="majorEastAsia"/>
          <w:color w:val="000000" w:themeColor="text1"/>
        </w:rPr>
        <w:t>an important</w:t>
      </w:r>
      <w:r w:rsidRPr="00B027A1">
        <w:rPr>
          <w:color w:val="000000" w:themeColor="text1"/>
        </w:rPr>
        <w:t xml:space="preserve"> role and there is no doubt that marriage is the most sacred, pious, and essential institution in our society. Throughout history, marriage has served the dual purpose of fulfilling companionship and lineage needs. Several rituals, customs, ceremonies, and traditions associated with marriage have developed as a result of the institution of marriage. In many communities, women were given gifts and valuables as part of the wedding ceremony when they left their parent’s homes for their husband’s home. Besides being regarded as an auspicious custom, it also supported establishing and arranging newly required household amenities. It was common for women to be unemployed and not have a personal income during those times. Thus, brides were considered to have a lower economic value than their grooms. Therefore, the custom of dowry originates from the fact that the bride is valued lower economically by her bridegroom and in-laws, who were supposed to cover all her financial expenses after marriage. Traditionally, Dowry was considered to be a form of compensation paid by the father of the bride to his son-in-law for maintaining his daughter and also a kind of cost compensated for the expenses they had borne in educating and raising him. Furthermore, daughters were not given any share in their father’s wealth, so dowry was impliedly a kind of share.</w:t>
      </w:r>
    </w:p>
    <w:p w14:paraId="51582337" w14:textId="77777777" w:rsidR="00AB11CF" w:rsidRPr="00B027A1" w:rsidRDefault="00AB11CF" w:rsidP="00B027A1">
      <w:pPr>
        <w:spacing w:after="120"/>
        <w:jc w:val="both"/>
        <w:rPr>
          <w:color w:val="000000" w:themeColor="text1"/>
        </w:rPr>
      </w:pPr>
      <w:r w:rsidRPr="00B027A1">
        <w:rPr>
          <w:color w:val="000000" w:themeColor="text1"/>
        </w:rPr>
        <w:t xml:space="preserve">Several rituals and customs have come and gone throughout history, but dowry has not only survived but has flourished. In regard to the prevalence of this custom, people have different perspectives, and neither one is predicted nor one is common. It is hypothesized that many educated people verbally condemn this practice, but in actuality, they practice it under certain </w:t>
      </w:r>
      <w:r w:rsidRPr="00B027A1">
        <w:rPr>
          <w:color w:val="000000" w:themeColor="text1"/>
        </w:rPr>
        <w:lastRenderedPageBreak/>
        <w:t>cultural and social guises. Another reason for the parents of bride’s acceptance of the dowry system has always been the search and finding of a suitable partner for their daughters. There is a common belief that the payment of huge dowry guarantees will help in fetching a suitable match in terms of the desired caste and social status. At the same time, it is perhaps the easiest and fastest way for bridegrooms and their families to secure wealth and achieve financial stability through the dowry system. As a result, the current generation has been forced into an unavoidable and difficult situation. In one sense, the extremely rich have made marrying their daughters with the most expensive car, the most expensive ornament, etc., a status symbol, whereas in the other, the middle class and the poor are drowning under the inevitable burden of dowry giving. Marriage has become more expensive as dowry demands have inflated to the point where it has become an extortionate expense. Dowry used to be given voluntarily as a token of love and blessings. A once-voluntary gift that was intended as a gift of love and blessings has instead turned into a budgetary headache.</w:t>
      </w:r>
    </w:p>
    <w:p w14:paraId="3D4BD377" w14:textId="0195FC48" w:rsidR="00AB11CF" w:rsidRPr="00B027A1" w:rsidRDefault="00AB11CF" w:rsidP="00B027A1">
      <w:pPr>
        <w:spacing w:after="120"/>
        <w:jc w:val="both"/>
        <w:rPr>
          <w:color w:val="000000" w:themeColor="text1"/>
        </w:rPr>
      </w:pPr>
      <w:r w:rsidRPr="00B027A1">
        <w:rPr>
          <w:color w:val="000000" w:themeColor="text1"/>
        </w:rPr>
        <w:t>According to sociologists, dowry can take a variety of forms in different societies, depending on the features of those societies. So as far as social perspectives are concerned, it is difficult to give a universal definition to dowry. There is no standard terminology for dowry, but it is usually referred to as "</w:t>
      </w:r>
      <w:proofErr w:type="spellStart"/>
      <w:r w:rsidRPr="00B027A1">
        <w:rPr>
          <w:iCs/>
          <w:color w:val="000000" w:themeColor="text1"/>
        </w:rPr>
        <w:t>Daaj</w:t>
      </w:r>
      <w:proofErr w:type="spellEnd"/>
      <w:r w:rsidRPr="00B027A1">
        <w:rPr>
          <w:iCs/>
          <w:color w:val="000000" w:themeColor="text1"/>
        </w:rPr>
        <w:t>" or "</w:t>
      </w:r>
      <w:proofErr w:type="spellStart"/>
      <w:r w:rsidRPr="00B027A1">
        <w:rPr>
          <w:iCs/>
          <w:color w:val="000000" w:themeColor="text1"/>
        </w:rPr>
        <w:t>Dahej</w:t>
      </w:r>
      <w:proofErr w:type="spellEnd"/>
      <w:r w:rsidRPr="00B027A1">
        <w:rPr>
          <w:color w:val="000000" w:themeColor="text1"/>
        </w:rPr>
        <w:t xml:space="preserve">", which is the term used by sociologists who study dowry systems in north India. Alternatively, south Indian societies view dowry as an inheritance given to a woman by a man and very often refer to it as </w:t>
      </w:r>
      <w:proofErr w:type="spellStart"/>
      <w:r w:rsidRPr="00B027A1">
        <w:rPr>
          <w:iCs/>
          <w:color w:val="000000" w:themeColor="text1"/>
        </w:rPr>
        <w:t>Streedhanam</w:t>
      </w:r>
      <w:proofErr w:type="spellEnd"/>
      <w:r w:rsidRPr="00B027A1">
        <w:rPr>
          <w:iCs/>
          <w:color w:val="000000" w:themeColor="text1"/>
        </w:rPr>
        <w:t>.</w:t>
      </w:r>
      <w:r w:rsidRPr="00B027A1">
        <w:rPr>
          <w:rStyle w:val="FootnoteReference"/>
          <w:rFonts w:eastAsiaTheme="majorEastAsia"/>
          <w:color w:val="000000" w:themeColor="text1"/>
        </w:rPr>
        <w:footnoteReference w:id="3"/>
      </w:r>
      <w:r w:rsidRPr="00B027A1">
        <w:rPr>
          <w:color w:val="000000" w:themeColor="text1"/>
        </w:rPr>
        <w:t xml:space="preserve"> Dowries have become a social problem that disrupts social and behavioural order. Dowry’s socio-religious nature was turned into a social evil by the following reasons;</w:t>
      </w:r>
    </w:p>
    <w:p w14:paraId="7CB3AFFE" w14:textId="07B2D0CA" w:rsidR="006F68F9" w:rsidRPr="00B027A1" w:rsidRDefault="006F68F9" w:rsidP="00B027A1">
      <w:pPr>
        <w:pStyle w:val="ListParagraph"/>
        <w:numPr>
          <w:ilvl w:val="0"/>
          <w:numId w:val="4"/>
        </w:numPr>
        <w:spacing w:after="120"/>
        <w:contextualSpacing w:val="0"/>
        <w:jc w:val="both"/>
        <w:rPr>
          <w:color w:val="000000" w:themeColor="text1"/>
        </w:rPr>
      </w:pPr>
      <w:r w:rsidRPr="00B027A1">
        <w:rPr>
          <w:color w:val="000000" w:themeColor="text1"/>
        </w:rPr>
        <w:t>A rigid caste system and an orthodox mentality</w:t>
      </w:r>
    </w:p>
    <w:p w14:paraId="20FC57F2" w14:textId="6D3DF382" w:rsidR="00AB11CF" w:rsidRPr="00B027A1" w:rsidRDefault="00AB11CF" w:rsidP="00B027A1">
      <w:pPr>
        <w:pStyle w:val="ListParagraph"/>
        <w:numPr>
          <w:ilvl w:val="0"/>
          <w:numId w:val="4"/>
        </w:numPr>
        <w:spacing w:after="120"/>
        <w:contextualSpacing w:val="0"/>
        <w:jc w:val="both"/>
        <w:rPr>
          <w:color w:val="000000" w:themeColor="text1"/>
        </w:rPr>
      </w:pPr>
      <w:r w:rsidRPr="00B027A1">
        <w:rPr>
          <w:color w:val="000000" w:themeColor="text1"/>
        </w:rPr>
        <w:t xml:space="preserve">A fake status symbol </w:t>
      </w:r>
    </w:p>
    <w:p w14:paraId="0BC69EFB" w14:textId="77777777" w:rsidR="00AB11CF" w:rsidRPr="00B027A1" w:rsidRDefault="00AB11CF" w:rsidP="00B027A1">
      <w:pPr>
        <w:pStyle w:val="ListParagraph"/>
        <w:numPr>
          <w:ilvl w:val="0"/>
          <w:numId w:val="4"/>
        </w:numPr>
        <w:spacing w:after="120"/>
        <w:contextualSpacing w:val="0"/>
        <w:jc w:val="both"/>
        <w:rPr>
          <w:color w:val="000000" w:themeColor="text1"/>
        </w:rPr>
      </w:pPr>
      <w:r w:rsidRPr="00B027A1">
        <w:rPr>
          <w:color w:val="000000" w:themeColor="text1"/>
        </w:rPr>
        <w:t>Due to psychological pressure, dowries are given to daughters for their happiness</w:t>
      </w:r>
    </w:p>
    <w:p w14:paraId="5DCDC246" w14:textId="77777777" w:rsidR="00AB11CF" w:rsidRPr="00B027A1" w:rsidRDefault="00AB11CF" w:rsidP="00B027A1">
      <w:pPr>
        <w:pStyle w:val="ListParagraph"/>
        <w:numPr>
          <w:ilvl w:val="0"/>
          <w:numId w:val="4"/>
        </w:numPr>
        <w:spacing w:after="120"/>
        <w:contextualSpacing w:val="0"/>
        <w:jc w:val="both"/>
        <w:rPr>
          <w:color w:val="000000" w:themeColor="text1"/>
        </w:rPr>
      </w:pPr>
      <w:r w:rsidRPr="00B027A1">
        <w:rPr>
          <w:color w:val="000000" w:themeColor="text1"/>
        </w:rPr>
        <w:t>Expectations of well settled bridegroom</w:t>
      </w:r>
    </w:p>
    <w:p w14:paraId="5A656454" w14:textId="43DB6F42" w:rsidR="00AB11CF" w:rsidRPr="00B027A1" w:rsidRDefault="00AB11CF" w:rsidP="00B027A1">
      <w:pPr>
        <w:spacing w:after="120"/>
        <w:jc w:val="both"/>
        <w:rPr>
          <w:color w:val="000000" w:themeColor="text1"/>
        </w:rPr>
      </w:pPr>
      <w:r w:rsidRPr="00B027A1">
        <w:rPr>
          <w:color w:val="000000" w:themeColor="text1"/>
        </w:rPr>
        <w:t xml:space="preserve">A civilization’s history lays the foundation for its future values, traditions, customs, and legal system. We have benefitted from the reflections of </w:t>
      </w:r>
      <w:r w:rsidRPr="00B027A1">
        <w:rPr>
          <w:rStyle w:val="issue-underline"/>
          <w:rFonts w:eastAsiaTheme="majorEastAsia"/>
          <w:color w:val="000000" w:themeColor="text1"/>
        </w:rPr>
        <w:t>age-old</w:t>
      </w:r>
      <w:r w:rsidRPr="00B027A1">
        <w:rPr>
          <w:color w:val="000000" w:themeColor="text1"/>
        </w:rPr>
        <w:t xml:space="preserve"> experiences and cultural values in numerous </w:t>
      </w:r>
      <w:r w:rsidRPr="00B027A1">
        <w:rPr>
          <w:rStyle w:val="issue-underline"/>
          <w:rFonts w:eastAsiaTheme="majorEastAsia"/>
          <w:color w:val="000000" w:themeColor="text1"/>
        </w:rPr>
        <w:t>ways, but</w:t>
      </w:r>
      <w:r w:rsidRPr="00B027A1">
        <w:rPr>
          <w:color w:val="000000" w:themeColor="text1"/>
        </w:rPr>
        <w:t xml:space="preserve"> </w:t>
      </w:r>
      <w:r w:rsidRPr="00B027A1">
        <w:rPr>
          <w:rStyle w:val="issue-underline"/>
          <w:rFonts w:eastAsiaTheme="majorEastAsia"/>
          <w:color w:val="000000" w:themeColor="text1"/>
        </w:rPr>
        <w:t>some of the traditional</w:t>
      </w:r>
      <w:r w:rsidRPr="00B027A1">
        <w:rPr>
          <w:color w:val="000000" w:themeColor="text1"/>
        </w:rPr>
        <w:t xml:space="preserve"> shackles have degraded society’s balance. The custom of dowry was not a novel occurrence in ancient times. Before the 20th century, Indian societies had </w:t>
      </w:r>
      <w:r w:rsidRPr="00B027A1">
        <w:rPr>
          <w:iCs/>
          <w:color w:val="000000" w:themeColor="text1"/>
        </w:rPr>
        <w:t>bride prices</w:t>
      </w:r>
      <w:r w:rsidRPr="00B027A1">
        <w:rPr>
          <w:color w:val="000000" w:themeColor="text1"/>
        </w:rPr>
        <w:t xml:space="preserve">, </w:t>
      </w:r>
      <w:proofErr w:type="spellStart"/>
      <w:r w:rsidRPr="00B027A1">
        <w:rPr>
          <w:iCs/>
          <w:color w:val="000000" w:themeColor="text1"/>
        </w:rPr>
        <w:t>dakshinas</w:t>
      </w:r>
      <w:proofErr w:type="spellEnd"/>
      <w:r w:rsidRPr="00B027A1">
        <w:rPr>
          <w:iCs/>
          <w:color w:val="000000" w:themeColor="text1"/>
        </w:rPr>
        <w:t xml:space="preserve">, </w:t>
      </w:r>
      <w:proofErr w:type="spellStart"/>
      <w:r w:rsidRPr="00B027A1">
        <w:rPr>
          <w:iCs/>
          <w:color w:val="000000" w:themeColor="text1"/>
        </w:rPr>
        <w:t>kanyadhans</w:t>
      </w:r>
      <w:proofErr w:type="spellEnd"/>
      <w:r w:rsidRPr="00B027A1">
        <w:rPr>
          <w:iCs/>
          <w:color w:val="000000" w:themeColor="text1"/>
        </w:rPr>
        <w:t>,</w:t>
      </w:r>
      <w:r w:rsidRPr="00B027A1">
        <w:rPr>
          <w:color w:val="000000" w:themeColor="text1"/>
        </w:rPr>
        <w:t xml:space="preserve"> and </w:t>
      </w:r>
      <w:proofErr w:type="spellStart"/>
      <w:r w:rsidRPr="00B027A1">
        <w:rPr>
          <w:iCs/>
          <w:color w:val="000000" w:themeColor="text1"/>
        </w:rPr>
        <w:t>streedhanas</w:t>
      </w:r>
      <w:proofErr w:type="spellEnd"/>
      <w:r w:rsidRPr="00B027A1">
        <w:rPr>
          <w:color w:val="000000" w:themeColor="text1"/>
        </w:rPr>
        <w:t>. Dowry became a social practice only in the modern era. Dowry has been practiced since ancient times. The ancient socialistic patterns of society changed into male domination and female suppression. It is very common to find traces of the age-old custom of “dowry” in the Hindu scriptures and sacred books.</w:t>
      </w:r>
    </w:p>
    <w:p w14:paraId="2E98DCC7" w14:textId="284BC765" w:rsidR="006F68F9" w:rsidRPr="00B027A1" w:rsidRDefault="00AB11CF" w:rsidP="00B027A1">
      <w:pPr>
        <w:spacing w:after="120"/>
        <w:jc w:val="both"/>
        <w:rPr>
          <w:rStyle w:val="Strong"/>
          <w:b w:val="0"/>
          <w:bCs w:val="0"/>
          <w:color w:val="000000" w:themeColor="text1"/>
        </w:rPr>
      </w:pPr>
      <w:r w:rsidRPr="00B027A1">
        <w:rPr>
          <w:color w:val="000000" w:themeColor="text1"/>
        </w:rPr>
        <w:t xml:space="preserve">In recent decades, there have been many problems and evils that have emerged because of a turn away from the right path, causing us to lose sight of the true importance of the causes that have encouraged the rise of numerous traditions and customs. While having a strong and efficient legal system, these evils have disturbed the peace of society, ruined the pious objectives of ancient customs, and even led to the commission of crimes. </w:t>
      </w:r>
    </w:p>
    <w:p w14:paraId="106CE4B5" w14:textId="5CD2F5B9" w:rsidR="006F68F9" w:rsidRPr="00B027A1" w:rsidRDefault="00F33E8F" w:rsidP="00B027A1">
      <w:pPr>
        <w:pStyle w:val="pb-2"/>
        <w:spacing w:before="0" w:beforeAutospacing="0" w:after="120" w:afterAutospacing="0"/>
        <w:jc w:val="both"/>
        <w:rPr>
          <w:b/>
          <w:bCs/>
          <w:color w:val="000000"/>
        </w:rPr>
      </w:pPr>
      <w:r w:rsidRPr="00B027A1">
        <w:rPr>
          <w:b/>
          <w:bCs/>
          <w:color w:val="000000"/>
        </w:rPr>
        <w:t>THE DOWRY SYSTEM AND THE SIGNIFICANT LEGAL TRANSFORMATIONS</w:t>
      </w:r>
    </w:p>
    <w:p w14:paraId="61658700" w14:textId="23E12C4A"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lastRenderedPageBreak/>
        <w:t xml:space="preserve">After freedom, many efforts have been made to reform the status of women. The Indian Constitution was framed, enacted, and commenced. Regardless of religion, race, station, sex or place of birth, everyone in India is considered equal in the eyes of the law. The fundamental rights contained in Articles 14, 15, and 16 </w:t>
      </w:r>
      <w:r w:rsidRPr="00B027A1">
        <w:rPr>
          <w:rStyle w:val="issue-underline"/>
          <w:rFonts w:eastAsiaTheme="majorEastAsia"/>
          <w:color w:val="000000" w:themeColor="text1"/>
        </w:rPr>
        <w:t>of the Indian</w:t>
      </w:r>
      <w:r w:rsidRPr="00B027A1">
        <w:rPr>
          <w:color w:val="000000" w:themeColor="text1"/>
        </w:rPr>
        <w:t xml:space="preserve"> Constitution </w:t>
      </w:r>
      <w:r w:rsidRPr="00B027A1">
        <w:rPr>
          <w:rStyle w:val="issue-underline"/>
          <w:rFonts w:eastAsiaTheme="majorEastAsia"/>
          <w:color w:val="000000" w:themeColor="text1"/>
        </w:rPr>
        <w:t>ensured</w:t>
      </w:r>
      <w:r w:rsidRPr="00B027A1">
        <w:rPr>
          <w:color w:val="000000" w:themeColor="text1"/>
        </w:rPr>
        <w:t xml:space="preserve"> that women in India </w:t>
      </w:r>
      <w:r w:rsidRPr="00B027A1">
        <w:rPr>
          <w:rStyle w:val="issue-underline"/>
          <w:rFonts w:eastAsiaTheme="majorEastAsia"/>
          <w:color w:val="000000" w:themeColor="text1"/>
        </w:rPr>
        <w:t>ought not to be treated</w:t>
      </w:r>
      <w:r w:rsidRPr="00B027A1">
        <w:rPr>
          <w:color w:val="000000" w:themeColor="text1"/>
        </w:rPr>
        <w:t xml:space="preserve"> as mediocre compared to men in any regard. </w:t>
      </w:r>
    </w:p>
    <w:p w14:paraId="0EF8E298"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Specifically, Article 15 (3) obligates the state to provide specific welfare arrangements for women and children. Therefore, Article 15 (3) empowered the legislature to pass laws </w:t>
      </w:r>
      <w:proofErr w:type="gramStart"/>
      <w:r w:rsidRPr="00B027A1">
        <w:rPr>
          <w:color w:val="000000" w:themeColor="text1"/>
        </w:rPr>
        <w:t>securing</w:t>
      </w:r>
      <w:proofErr w:type="gramEnd"/>
      <w:r w:rsidRPr="00B027A1">
        <w:rPr>
          <w:color w:val="000000" w:themeColor="text1"/>
        </w:rPr>
        <w:t xml:space="preserve"> the rights of women and to enforce those laws.</w:t>
      </w:r>
      <w:r w:rsidRPr="00B027A1">
        <w:rPr>
          <w:rStyle w:val="FootnoteReference"/>
          <w:rFonts w:eastAsiaTheme="majorEastAsia"/>
          <w:color w:val="000000" w:themeColor="text1"/>
        </w:rPr>
        <w:footnoteReference w:id="4"/>
      </w:r>
      <w:r w:rsidRPr="00B027A1">
        <w:rPr>
          <w:color w:val="000000" w:themeColor="text1"/>
        </w:rPr>
        <w:t xml:space="preserve"> Likewise, Article 39 of the Directive Principles of State Policy requires the state to guarantee equal opportunity to all”.</w:t>
      </w:r>
      <w:r w:rsidRPr="00B027A1">
        <w:rPr>
          <w:rStyle w:val="FootnoteReference"/>
          <w:rFonts w:eastAsiaTheme="majorEastAsia"/>
          <w:color w:val="000000" w:themeColor="text1"/>
        </w:rPr>
        <w:footnoteReference w:id="5"/>
      </w:r>
      <w:r w:rsidRPr="00B027A1">
        <w:rPr>
          <w:color w:val="000000" w:themeColor="text1"/>
        </w:rPr>
        <w:t xml:space="preserve"> </w:t>
      </w:r>
    </w:p>
    <w:p w14:paraId="7D19A1A7"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Under British rule, women could not inherit or own property in their names. Until 1956, Indian females were not allowed to inherit their </w:t>
      </w:r>
      <w:proofErr w:type="gramStart"/>
      <w:r w:rsidRPr="00B027A1">
        <w:rPr>
          <w:color w:val="000000" w:themeColor="text1"/>
        </w:rPr>
        <w:t>parents</w:t>
      </w:r>
      <w:proofErr w:type="gramEnd"/>
      <w:r w:rsidRPr="00B027A1">
        <w:rPr>
          <w:color w:val="000000" w:themeColor="text1"/>
        </w:rPr>
        <w:t xml:space="preserve"> property after independence. In 1956, some changes were made to Hindu Personal Laws that allowed women to inherit ancestral or parental property in India. In spite of that, women’s rights were not equal to men. “According </w:t>
      </w:r>
      <w:r w:rsidRPr="00B027A1">
        <w:rPr>
          <w:rStyle w:val="issue-underline"/>
          <w:rFonts w:eastAsiaTheme="majorEastAsia"/>
          <w:color w:val="000000" w:themeColor="text1"/>
        </w:rPr>
        <w:t>to law,</w:t>
      </w:r>
      <w:r w:rsidRPr="00B027A1">
        <w:rPr>
          <w:color w:val="000000" w:themeColor="text1"/>
        </w:rPr>
        <w:t xml:space="preserve"> a son had a distinct and independent share </w:t>
      </w:r>
      <w:r w:rsidRPr="00B027A1">
        <w:rPr>
          <w:rStyle w:val="issue-underline"/>
          <w:rFonts w:eastAsiaTheme="majorEastAsia"/>
          <w:color w:val="000000" w:themeColor="text1"/>
        </w:rPr>
        <w:t>in the hereditary</w:t>
      </w:r>
      <w:r w:rsidRPr="00B027A1">
        <w:rPr>
          <w:color w:val="000000" w:themeColor="text1"/>
        </w:rPr>
        <w:t xml:space="preserve"> </w:t>
      </w:r>
      <w:r w:rsidRPr="00B027A1">
        <w:rPr>
          <w:rStyle w:val="issue-underline"/>
          <w:rFonts w:eastAsiaTheme="majorEastAsia"/>
          <w:color w:val="000000" w:themeColor="text1"/>
        </w:rPr>
        <w:t>property, whereas</w:t>
      </w:r>
      <w:r w:rsidRPr="00B027A1">
        <w:rPr>
          <w:color w:val="000000" w:themeColor="text1"/>
        </w:rPr>
        <w:t xml:space="preserve"> the share </w:t>
      </w:r>
      <w:r w:rsidRPr="00B027A1">
        <w:rPr>
          <w:rStyle w:val="issue-underline"/>
          <w:rFonts w:eastAsiaTheme="majorEastAsia"/>
          <w:color w:val="000000" w:themeColor="text1"/>
        </w:rPr>
        <w:t>of the daughter</w:t>
      </w:r>
      <w:r w:rsidRPr="00B027A1">
        <w:rPr>
          <w:color w:val="000000" w:themeColor="text1"/>
        </w:rPr>
        <w:t xml:space="preserve"> was dependent on the share gotten by her father. Consequently, a father could exclude a girl by denying his share of the hereditary property, but the son would still have a share. Moreover, married daughters, even those who faced conjugal harassment, had no right to live in their ancestral home. In 2005, the Hindu laws were altered </w:t>
      </w:r>
      <w:r w:rsidRPr="00B027A1">
        <w:rPr>
          <w:rStyle w:val="issue-underline"/>
          <w:rFonts w:eastAsiaTheme="majorEastAsia"/>
          <w:color w:val="000000" w:themeColor="text1"/>
        </w:rPr>
        <w:t>once more, now furnishing measures to the women to provide</w:t>
      </w:r>
      <w:r w:rsidRPr="00B027A1">
        <w:rPr>
          <w:color w:val="000000" w:themeColor="text1"/>
        </w:rPr>
        <w:t xml:space="preserve"> equal rights with men regarding ancestral property. According to Section 6 of the Hindu Law, daughters have the same rights as sons. In the same way as a son, daughters were considered to have the same liability, allotment of shares and obligations”.</w:t>
      </w:r>
      <w:r w:rsidRPr="00B027A1">
        <w:rPr>
          <w:rStyle w:val="FootnoteReference"/>
          <w:rFonts w:eastAsiaTheme="majorEastAsia"/>
          <w:color w:val="000000" w:themeColor="text1"/>
        </w:rPr>
        <w:footnoteReference w:id="6"/>
      </w:r>
    </w:p>
    <w:p w14:paraId="5B5B8BF6"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Although today’s dowry system is complex, it started humbly. Numerous incidents show that grooms sometimes </w:t>
      </w:r>
      <w:r w:rsidRPr="00B027A1">
        <w:rPr>
          <w:rStyle w:val="issue-underline"/>
          <w:rFonts w:eastAsiaTheme="majorEastAsia"/>
          <w:color w:val="000000" w:themeColor="text1"/>
        </w:rPr>
        <w:t>refuse to proceed with half-marriage</w:t>
      </w:r>
      <w:r w:rsidRPr="00B027A1">
        <w:rPr>
          <w:color w:val="000000" w:themeColor="text1"/>
        </w:rPr>
        <w:t xml:space="preserve"> rituals unless the dowry is paid halfway through. Most of the time, the parents surrendered to this hold-up because of social and financial pressures because marriage was considered the ultimate goal for women at that time.</w:t>
      </w:r>
      <w:r w:rsidRPr="00B027A1">
        <w:rPr>
          <w:rStyle w:val="FootnoteReference"/>
          <w:rFonts w:eastAsiaTheme="majorEastAsia"/>
          <w:color w:val="000000" w:themeColor="text1"/>
        </w:rPr>
        <w:footnoteReference w:id="7"/>
      </w:r>
    </w:p>
    <w:p w14:paraId="4C075F4C" w14:textId="08D07675" w:rsidR="00E730F3" w:rsidRPr="00B027A1" w:rsidRDefault="00F33E8F" w:rsidP="00B027A1">
      <w:pPr>
        <w:pStyle w:val="pb-2"/>
        <w:spacing w:before="0" w:beforeAutospacing="0" w:after="120" w:afterAutospacing="0"/>
        <w:jc w:val="both"/>
        <w:rPr>
          <w:b/>
          <w:bCs/>
          <w:color w:val="000000"/>
        </w:rPr>
      </w:pPr>
      <w:r w:rsidRPr="00B027A1">
        <w:rPr>
          <w:b/>
          <w:bCs/>
          <w:color w:val="000000"/>
        </w:rPr>
        <w:t>LEGISLATING AGAINST TRADITION: THE RISE OF DOWRY PROHIBITION LAWS</w:t>
      </w:r>
    </w:p>
    <w:p w14:paraId="65234606" w14:textId="0A03BA1B" w:rsidR="00F82AFE" w:rsidRPr="00B027A1" w:rsidRDefault="00F82AFE" w:rsidP="00B027A1">
      <w:pPr>
        <w:pStyle w:val="pb-2"/>
        <w:spacing w:before="0" w:beforeAutospacing="0" w:after="120" w:afterAutospacing="0"/>
        <w:jc w:val="both"/>
        <w:rPr>
          <w:b/>
          <w:bCs/>
          <w:color w:val="000000" w:themeColor="text1"/>
        </w:rPr>
      </w:pPr>
      <w:r w:rsidRPr="00B027A1">
        <w:rPr>
          <w:color w:val="000000" w:themeColor="text1"/>
        </w:rPr>
        <w:t xml:space="preserve">Over time, dowry </w:t>
      </w:r>
      <w:r w:rsidRPr="00B027A1">
        <w:rPr>
          <w:rStyle w:val="issue-underline"/>
          <w:bCs/>
          <w:color w:val="000000" w:themeColor="text1"/>
        </w:rPr>
        <w:t>had taken on</w:t>
      </w:r>
      <w:r w:rsidRPr="00B027A1">
        <w:rPr>
          <w:color w:val="000000" w:themeColor="text1"/>
        </w:rPr>
        <w:t xml:space="preserve"> an acute form and spread across almost every section of </w:t>
      </w:r>
      <w:r w:rsidRPr="00B027A1">
        <w:rPr>
          <w:rStyle w:val="issue-underline"/>
          <w:bCs/>
          <w:color w:val="000000" w:themeColor="text1"/>
        </w:rPr>
        <w:t>society. As</w:t>
      </w:r>
      <w:r w:rsidRPr="00B027A1">
        <w:rPr>
          <w:color w:val="000000" w:themeColor="text1"/>
        </w:rPr>
        <w:t xml:space="preserve"> a result, some states like Bihar and Andhra Pradesh have observed dowry’s adverse effects more severely.</w:t>
      </w:r>
    </w:p>
    <w:p w14:paraId="154246BF"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As a result, “the Bihar Dowry Restraint Act, 1950”, and “the Andhra Pradesh Dowry Prohibition Act, 1958”, were enacted for each state. Unfortunately, these acts did not achieve their intended purpose. Dowry has become a major concern for everyone because of its ever-increasing and disturbing elements. A number of issues, including dowry, have been attracting the government’s attention since the Constitution was drafted, which is based on the principle of equality. They understood the problem as social rather than legal and </w:t>
      </w:r>
      <w:r w:rsidRPr="00B027A1">
        <w:rPr>
          <w:color w:val="000000" w:themeColor="text1"/>
        </w:rPr>
        <w:lastRenderedPageBreak/>
        <w:t xml:space="preserve">combated it through social change rather than a purely technical legislature. </w:t>
      </w:r>
      <w:proofErr w:type="gramStart"/>
      <w:r w:rsidRPr="00B027A1">
        <w:rPr>
          <w:color w:val="000000" w:themeColor="text1"/>
        </w:rPr>
        <w:t>In response, “the Hindu Succession Act, 1956” aims to ensure women’s equal rights in joint property.</w:t>
      </w:r>
      <w:proofErr w:type="gramEnd"/>
      <w:r w:rsidRPr="00B027A1">
        <w:rPr>
          <w:color w:val="000000" w:themeColor="text1"/>
        </w:rPr>
        <w:t xml:space="preserve"> </w:t>
      </w:r>
    </w:p>
    <w:p w14:paraId="2AA0DCD0"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By instilling the rights of women in their family property, this enactment also aimed to end the custom of giving and taking dowry. Apparently, one of the major reasons for giving a dowry to the daughter is to compensate her for not receiving a share of the property and instead provide some kind of financial security to her.</w:t>
      </w:r>
    </w:p>
    <w:p w14:paraId="7843DFB7"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However, nothing has worked much; there has been constant political and social pressure on the government to pass specific legislation that would prohibit any form of giving and taking dowry. On April 24th, 1959, a dowry prohibition bill was introduced in the </w:t>
      </w:r>
      <w:proofErr w:type="spellStart"/>
      <w:r w:rsidRPr="00B027A1">
        <w:rPr>
          <w:color w:val="000000" w:themeColor="text1"/>
        </w:rPr>
        <w:t>Lok</w:t>
      </w:r>
      <w:proofErr w:type="spellEnd"/>
      <w:r w:rsidRPr="00B027A1">
        <w:rPr>
          <w:color w:val="000000" w:themeColor="text1"/>
        </w:rPr>
        <w:t xml:space="preserve"> </w:t>
      </w:r>
      <w:proofErr w:type="spellStart"/>
      <w:r w:rsidRPr="00B027A1">
        <w:rPr>
          <w:color w:val="000000" w:themeColor="text1"/>
        </w:rPr>
        <w:t>Sabha</w:t>
      </w:r>
      <w:proofErr w:type="spellEnd"/>
      <w:r w:rsidRPr="00B027A1">
        <w:rPr>
          <w:color w:val="000000" w:themeColor="text1"/>
        </w:rPr>
        <w:t>.</w:t>
      </w:r>
      <w:r w:rsidRPr="00B027A1">
        <w:rPr>
          <w:rStyle w:val="FootnoteReference"/>
          <w:rFonts w:eastAsiaTheme="majorEastAsia"/>
          <w:color w:val="000000" w:themeColor="text1"/>
        </w:rPr>
        <w:footnoteReference w:id="8"/>
      </w:r>
      <w:r w:rsidRPr="00B027A1">
        <w:rPr>
          <w:color w:val="000000" w:themeColor="text1"/>
        </w:rPr>
        <w:t xml:space="preserve"> As a result of many discussions and debates, it was sent to the joint committee of the Parliament. Despite the joint committee’s suggestions, it failed to achieve consensus between both houses on some of the changes. The Bill was passed in May 1961, after various debates in both houses.</w:t>
      </w:r>
      <w:r w:rsidRPr="00B027A1">
        <w:rPr>
          <w:rStyle w:val="FootnoteReference"/>
          <w:rFonts w:eastAsiaTheme="majorEastAsia"/>
          <w:color w:val="000000" w:themeColor="text1"/>
        </w:rPr>
        <w:footnoteReference w:id="9"/>
      </w:r>
    </w:p>
    <w:p w14:paraId="5EEA6C9C" w14:textId="77777777" w:rsidR="00F82AFE" w:rsidRPr="00B027A1" w:rsidRDefault="00F82AFE" w:rsidP="00B027A1">
      <w:pPr>
        <w:pStyle w:val="pb-2"/>
        <w:spacing w:before="0" w:beforeAutospacing="0" w:after="120" w:afterAutospacing="0"/>
        <w:ind w:left="360" w:right="360"/>
        <w:jc w:val="both"/>
        <w:rPr>
          <w:color w:val="000000" w:themeColor="text1"/>
        </w:rPr>
      </w:pPr>
      <w:r w:rsidRPr="00B027A1">
        <w:rPr>
          <w:color w:val="000000" w:themeColor="text1"/>
        </w:rPr>
        <w:t xml:space="preserve">“Law makers have attempted to maintain the balance between tradition and compulsion when it comes to gifting customary gifts to daughters on auspicious occasions. Furthermore, the law specifies that these gifts should only benefit such women. Based on the </w:t>
      </w:r>
      <w:r w:rsidRPr="00B027A1">
        <w:rPr>
          <w:rStyle w:val="issue-underline"/>
          <w:rFonts w:eastAsiaTheme="majorEastAsia"/>
          <w:color w:val="000000" w:themeColor="text1"/>
        </w:rPr>
        <w:t>recommendation of the committee,</w:t>
      </w:r>
      <w:r w:rsidRPr="00B027A1">
        <w:rPr>
          <w:color w:val="000000" w:themeColor="text1"/>
        </w:rPr>
        <w:t xml:space="preserve"> the government issued instructions to the states and Union Territories to conduct detailed and compulsory investigations into dowry </w:t>
      </w:r>
      <w:r w:rsidRPr="00B027A1">
        <w:rPr>
          <w:rStyle w:val="issue-underline"/>
          <w:rFonts w:eastAsiaTheme="majorEastAsia"/>
          <w:color w:val="000000" w:themeColor="text1"/>
        </w:rPr>
        <w:t>deaths and to increase</w:t>
      </w:r>
      <w:r w:rsidRPr="00B027A1">
        <w:rPr>
          <w:color w:val="000000" w:themeColor="text1"/>
        </w:rPr>
        <w:t xml:space="preserve"> public awareness of dowry abuse. Upon receiving the government’s replies, the joint committee of the houses made recommendations for amendments to the Indian Penal Code, </w:t>
      </w:r>
      <w:r w:rsidRPr="00B027A1">
        <w:rPr>
          <w:rStyle w:val="issue-underline"/>
          <w:rFonts w:eastAsiaTheme="majorEastAsia"/>
          <w:color w:val="000000" w:themeColor="text1"/>
        </w:rPr>
        <w:t>1860,</w:t>
      </w:r>
      <w:r w:rsidRPr="00B027A1">
        <w:rPr>
          <w:color w:val="000000" w:themeColor="text1"/>
        </w:rPr>
        <w:t xml:space="preserve"> the Indian Evidence Act, 1872, </w:t>
      </w:r>
      <w:r w:rsidRPr="00B027A1">
        <w:rPr>
          <w:rStyle w:val="issue-underline"/>
          <w:rFonts w:eastAsiaTheme="majorEastAsia"/>
          <w:color w:val="000000" w:themeColor="text1"/>
        </w:rPr>
        <w:t>and the</w:t>
      </w:r>
      <w:r w:rsidRPr="00B027A1">
        <w:rPr>
          <w:color w:val="000000" w:themeColor="text1"/>
        </w:rPr>
        <w:t xml:space="preserve"> </w:t>
      </w:r>
      <w:r w:rsidRPr="00B027A1">
        <w:rPr>
          <w:rStyle w:val="Strong"/>
          <w:b w:val="0"/>
          <w:bCs w:val="0"/>
          <w:iCs/>
          <w:color w:val="000000" w:themeColor="text1"/>
        </w:rPr>
        <w:t>Code of Criminal Procedure</w:t>
      </w:r>
      <w:r w:rsidRPr="00B027A1">
        <w:rPr>
          <w:b/>
          <w:bCs/>
          <w:color w:val="000000" w:themeColor="text1"/>
        </w:rPr>
        <w:t xml:space="preserve">, </w:t>
      </w:r>
      <w:r w:rsidRPr="00B027A1">
        <w:rPr>
          <w:color w:val="000000" w:themeColor="text1"/>
        </w:rPr>
        <w:t>1973. An amendment was made to the Indian Penal Code in 1983, and Section 498-A was added. As a result, cruelty to a wife became a cognizable and non-</w:t>
      </w:r>
      <w:proofErr w:type="spellStart"/>
      <w:r w:rsidRPr="00B027A1">
        <w:rPr>
          <w:color w:val="000000" w:themeColor="text1"/>
        </w:rPr>
        <w:t>bailable</w:t>
      </w:r>
      <w:proofErr w:type="spellEnd"/>
      <w:r w:rsidRPr="00B027A1">
        <w:rPr>
          <w:color w:val="000000" w:themeColor="text1"/>
        </w:rPr>
        <w:t xml:space="preserve"> offence, punishable by up to three </w:t>
      </w:r>
      <w:r w:rsidRPr="00B027A1">
        <w:rPr>
          <w:rStyle w:val="issue-underline"/>
          <w:rFonts w:eastAsiaTheme="majorEastAsia"/>
          <w:color w:val="000000" w:themeColor="text1"/>
        </w:rPr>
        <w:t xml:space="preserve">years/ fine/ </w:t>
      </w:r>
      <w:proofErr w:type="gramStart"/>
      <w:r w:rsidRPr="00B027A1">
        <w:rPr>
          <w:rStyle w:val="issue-underline"/>
          <w:rFonts w:eastAsiaTheme="majorEastAsia"/>
          <w:color w:val="000000" w:themeColor="text1"/>
        </w:rPr>
        <w:t>Both</w:t>
      </w:r>
      <w:proofErr w:type="gramEnd"/>
      <w:r w:rsidRPr="00B027A1">
        <w:rPr>
          <w:rStyle w:val="issue-underline"/>
          <w:rFonts w:eastAsiaTheme="majorEastAsia"/>
          <w:color w:val="000000" w:themeColor="text1"/>
        </w:rPr>
        <w:t>.</w:t>
      </w:r>
      <w:r w:rsidRPr="00B027A1">
        <w:rPr>
          <w:color w:val="000000" w:themeColor="text1"/>
        </w:rPr>
        <w:t xml:space="preserve"> The Indian Penal Code was again amended in 1986, and Section 304 B was added </w:t>
      </w:r>
      <w:r w:rsidRPr="00B027A1">
        <w:rPr>
          <w:rStyle w:val="issue-underline"/>
          <w:rFonts w:eastAsiaTheme="majorEastAsia"/>
          <w:color w:val="000000" w:themeColor="text1"/>
        </w:rPr>
        <w:t>with a minimum</w:t>
      </w:r>
      <w:r w:rsidRPr="00B027A1">
        <w:rPr>
          <w:color w:val="000000" w:themeColor="text1"/>
        </w:rPr>
        <w:t xml:space="preserve"> punishment of seven </w:t>
      </w:r>
      <w:r w:rsidRPr="00B027A1">
        <w:rPr>
          <w:rStyle w:val="issue-underline"/>
          <w:rFonts w:eastAsiaTheme="majorEastAsia"/>
          <w:color w:val="000000" w:themeColor="text1"/>
        </w:rPr>
        <w:t>years, which</w:t>
      </w:r>
      <w:r w:rsidRPr="00B027A1">
        <w:rPr>
          <w:color w:val="000000" w:themeColor="text1"/>
        </w:rPr>
        <w:t xml:space="preserve"> may be extended up to life imprisonment for husband/ relatives”.</w:t>
      </w:r>
      <w:r w:rsidRPr="00B027A1">
        <w:rPr>
          <w:rStyle w:val="FootnoteReference"/>
          <w:rFonts w:eastAsiaTheme="majorEastAsia"/>
          <w:color w:val="000000" w:themeColor="text1"/>
        </w:rPr>
        <w:footnoteReference w:id="10"/>
      </w:r>
      <w:r w:rsidRPr="00B027A1">
        <w:rPr>
          <w:color w:val="000000" w:themeColor="text1"/>
        </w:rPr>
        <w:t xml:space="preserve"> </w:t>
      </w:r>
    </w:p>
    <w:p w14:paraId="6255838C" w14:textId="77777777"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“In the same year, Section 113B was introduced into the Indian Evidence Act, 1872.</w:t>
      </w:r>
      <w:r w:rsidRPr="00B027A1">
        <w:rPr>
          <w:rFonts w:eastAsiaTheme="majorEastAsia"/>
          <w:color w:val="000000" w:themeColor="text1"/>
        </w:rPr>
        <w:t xml:space="preserve"> </w:t>
      </w:r>
      <w:r w:rsidRPr="00B027A1">
        <w:rPr>
          <w:color w:val="000000" w:themeColor="text1"/>
        </w:rPr>
        <w:t>It provides that the Court can draw an inference of the crime of dowry death of a woman if it is shown that soon before her death such woman has been subjected to cruelty by her husband or his relatives.”</w:t>
      </w:r>
      <w:r w:rsidRPr="00B027A1">
        <w:rPr>
          <w:rStyle w:val="FootnoteReference"/>
          <w:rFonts w:eastAsiaTheme="majorEastAsia"/>
          <w:color w:val="000000" w:themeColor="text1"/>
        </w:rPr>
        <w:t xml:space="preserve"> </w:t>
      </w:r>
      <w:r w:rsidRPr="00B027A1">
        <w:rPr>
          <w:rStyle w:val="FootnoteReference"/>
          <w:rFonts w:eastAsiaTheme="majorEastAsia"/>
          <w:color w:val="000000" w:themeColor="text1"/>
        </w:rPr>
        <w:footnoteReference w:id="11"/>
      </w:r>
    </w:p>
    <w:p w14:paraId="05A47AC3" w14:textId="7AA4865A" w:rsidR="00F82AFE" w:rsidRPr="00B027A1" w:rsidRDefault="00F33E8F" w:rsidP="00B027A1">
      <w:pPr>
        <w:pStyle w:val="Heading2"/>
        <w:spacing w:before="0" w:after="120"/>
        <w:jc w:val="both"/>
        <w:rPr>
          <w:rFonts w:ascii="Times New Roman" w:hAnsi="Times New Roman" w:cs="Times New Roman"/>
          <w:b/>
          <w:bCs/>
          <w:color w:val="000000" w:themeColor="text1"/>
          <w:sz w:val="24"/>
          <w:szCs w:val="24"/>
        </w:rPr>
      </w:pPr>
      <w:bookmarkStart w:id="1" w:name="_Toc142040396"/>
      <w:bookmarkStart w:id="2" w:name="_Toc151022358"/>
      <w:bookmarkStart w:id="3" w:name="_Toc152681573"/>
      <w:r w:rsidRPr="00B027A1">
        <w:rPr>
          <w:rFonts w:ascii="Times New Roman" w:hAnsi="Times New Roman" w:cs="Times New Roman"/>
          <w:b/>
          <w:bCs/>
          <w:color w:val="000000" w:themeColor="text1"/>
          <w:sz w:val="24"/>
          <w:szCs w:val="24"/>
        </w:rPr>
        <w:t>PARLIAMENTARY JOINT COMMITTEE ON DOWRY (1982)</w:t>
      </w:r>
      <w:bookmarkEnd w:id="1"/>
      <w:bookmarkEnd w:id="2"/>
      <w:bookmarkEnd w:id="3"/>
    </w:p>
    <w:p w14:paraId="120649B5" w14:textId="6ACF319F"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Upon passing “the Dowry Prohibition Act of 1961”, it was realized that many inhuman killings or bride burnings were closely associated with the evil of dowries, so this Act was unable to accomplish its objectives. As a result, a Parliamentary Committee has been appointed to investigate the shortcomings of the Act, conduct an empirical survey, and </w:t>
      </w:r>
      <w:r w:rsidRPr="00B027A1">
        <w:rPr>
          <w:color w:val="000000" w:themeColor="text1"/>
        </w:rPr>
        <w:lastRenderedPageBreak/>
        <w:t>suggest amendments. As part of its evaluation, the committee examined the effectiveness and implementation of the Act. As a result, various changes and insertions have been suggested to the existing law.</w:t>
      </w:r>
      <w:r w:rsidR="00086A3C" w:rsidRPr="00B027A1">
        <w:rPr>
          <w:color w:val="000000" w:themeColor="text1"/>
        </w:rPr>
        <w:t xml:space="preserve"> </w:t>
      </w:r>
      <w:r w:rsidRPr="00B027A1">
        <w:rPr>
          <w:color w:val="000000" w:themeColor="text1"/>
        </w:rPr>
        <w:t xml:space="preserve">Furthermore, various social groups, women’s groups, and the media pressed for preventive measures to eliminate the inhuman treatment of women for dowry. In August 1982, the Joint Parliamentary Committee on Dowry submitted its report with all these considerations in mind. “The Dowry Prohibition Act, 1961” underwent two amendments in 1984 and 1986, based on the recommendations put forth by the committee. </w:t>
      </w:r>
    </w:p>
    <w:p w14:paraId="16466771" w14:textId="29AF8039"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Due to the cruelty committed by husbands and in-laws for unlawful dowry demands, the committee made some important recommendations about amending the Indian Penal Code</w:t>
      </w:r>
      <w:r w:rsidRPr="00B027A1">
        <w:rPr>
          <w:rStyle w:val="FootnoteReference"/>
          <w:rFonts w:eastAsiaTheme="majorEastAsia"/>
          <w:color w:val="000000" w:themeColor="text1"/>
        </w:rPr>
        <w:footnoteReference w:id="12"/>
      </w:r>
      <w:r w:rsidRPr="00B027A1">
        <w:rPr>
          <w:color w:val="000000" w:themeColor="text1"/>
        </w:rPr>
        <w:t>, its Procedural Code</w:t>
      </w:r>
      <w:r w:rsidRPr="00B027A1">
        <w:rPr>
          <w:rStyle w:val="FootnoteReference"/>
          <w:rFonts w:eastAsiaTheme="majorEastAsia"/>
          <w:color w:val="000000" w:themeColor="text1"/>
        </w:rPr>
        <w:footnoteReference w:id="13"/>
      </w:r>
      <w:r w:rsidRPr="00B027A1">
        <w:rPr>
          <w:color w:val="000000" w:themeColor="text1"/>
        </w:rPr>
        <w:t>, and its Evidence Laws</w:t>
      </w:r>
      <w:r w:rsidRPr="00B027A1">
        <w:rPr>
          <w:rStyle w:val="FootnoteReference"/>
          <w:rFonts w:eastAsiaTheme="majorEastAsia"/>
          <w:color w:val="000000" w:themeColor="text1"/>
        </w:rPr>
        <w:footnoteReference w:id="14"/>
      </w:r>
      <w:r w:rsidRPr="00B027A1">
        <w:rPr>
          <w:color w:val="000000" w:themeColor="text1"/>
        </w:rPr>
        <w:t>. These amendments were regarding the insertion of some new provisions and offences like cruelty</w:t>
      </w:r>
      <w:r w:rsidRPr="00B027A1">
        <w:rPr>
          <w:rStyle w:val="FootnoteReference"/>
          <w:rFonts w:eastAsiaTheme="majorEastAsia"/>
          <w:color w:val="000000" w:themeColor="text1"/>
        </w:rPr>
        <w:footnoteReference w:id="15"/>
      </w:r>
      <w:r w:rsidRPr="00B027A1">
        <w:rPr>
          <w:color w:val="000000" w:themeColor="text1"/>
        </w:rPr>
        <w:t>, dowry death</w:t>
      </w:r>
      <w:r w:rsidRPr="00B027A1">
        <w:rPr>
          <w:rStyle w:val="FootnoteReference"/>
          <w:rFonts w:eastAsiaTheme="majorEastAsia"/>
          <w:color w:val="000000" w:themeColor="text1"/>
        </w:rPr>
        <w:footnoteReference w:id="16"/>
      </w:r>
      <w:r w:rsidRPr="00B027A1">
        <w:rPr>
          <w:color w:val="000000" w:themeColor="text1"/>
        </w:rPr>
        <w:t xml:space="preserve"> and presumptions related to these offences in the law of evidence</w:t>
      </w:r>
      <w:r w:rsidRPr="00B027A1">
        <w:rPr>
          <w:rStyle w:val="FootnoteReference"/>
          <w:rFonts w:eastAsiaTheme="majorEastAsia"/>
          <w:color w:val="000000" w:themeColor="text1"/>
        </w:rPr>
        <w:footnoteReference w:id="17"/>
      </w:r>
      <w:r w:rsidRPr="00B027A1">
        <w:rPr>
          <w:color w:val="000000" w:themeColor="text1"/>
        </w:rPr>
        <w:t>. To combat the practice of dowry as well as harassment of women for dowry, several measures have been implemented to strengthen the laws. Dowry giving and taking have been made cognizable offences, and cruelty to wives, including coercing her for dowry, has also been criminalized. The police and magistrate are obligated to conduct an investigation whenever a married woman is killed in unusual circumstances within the initial seven years of her marriage. Numerous amendments have been incorporated into “the Indian Penal Code, 1860” to regulate crimes related to dowry. Consequently, “the Dowry Prohibition Act, 1961” was specifically enacted to eradicate the practice of dowry from society. Sections 113A and 113B were integrated into the Evidence Law.</w:t>
      </w:r>
    </w:p>
    <w:p w14:paraId="5972D078" w14:textId="13BE9DAC" w:rsidR="005E5C28" w:rsidRPr="00B027A1" w:rsidRDefault="00F33E8F" w:rsidP="00B027A1">
      <w:pPr>
        <w:spacing w:after="120"/>
        <w:rPr>
          <w:b/>
          <w:bCs/>
        </w:rPr>
      </w:pPr>
      <w:r w:rsidRPr="00B027A1">
        <w:rPr>
          <w:b/>
          <w:bCs/>
          <w:color w:val="000000"/>
        </w:rPr>
        <w:t>TRACING THE DEVELOPMENT OF DOWRY PROHIBITION LAWS IN INDIA</w:t>
      </w:r>
    </w:p>
    <w:p w14:paraId="57969BC4" w14:textId="4CD6CDEB"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t xml:space="preserve">Despite dowry being at its whispering stage, “the Sindh </w:t>
      </w:r>
      <w:proofErr w:type="spellStart"/>
      <w:r w:rsidRPr="00B027A1">
        <w:rPr>
          <w:color w:val="000000" w:themeColor="text1"/>
        </w:rPr>
        <w:t>Deti-Leti</w:t>
      </w:r>
      <w:proofErr w:type="spellEnd"/>
      <w:r w:rsidRPr="00B027A1">
        <w:rPr>
          <w:color w:val="000000" w:themeColor="text1"/>
        </w:rPr>
        <w:t xml:space="preserve"> Act, 1939,</w:t>
      </w:r>
      <w:r w:rsidRPr="00B027A1">
        <w:rPr>
          <w:rStyle w:val="FootnoteReference"/>
          <w:rFonts w:eastAsiaTheme="majorEastAsia"/>
          <w:color w:val="000000" w:themeColor="text1"/>
        </w:rPr>
        <w:footnoteReference w:id="18"/>
      </w:r>
      <w:r w:rsidRPr="00B027A1">
        <w:rPr>
          <w:color w:val="000000" w:themeColor="text1"/>
        </w:rPr>
        <w:t xml:space="preserve"> was the first attempt to prohibit it. As a result of this law, it is prohibited to give or take any valuable article or dowry beyond the scope of the permissible limit specified by the list enumerated by the </w:t>
      </w:r>
      <w:proofErr w:type="spellStart"/>
      <w:r w:rsidRPr="00B027A1">
        <w:rPr>
          <w:iCs/>
          <w:color w:val="000000" w:themeColor="text1"/>
        </w:rPr>
        <w:t>panchayats</w:t>
      </w:r>
      <w:proofErr w:type="spellEnd"/>
      <w:r w:rsidRPr="00B027A1">
        <w:rPr>
          <w:color w:val="000000" w:themeColor="text1"/>
        </w:rPr>
        <w:t xml:space="preserve"> or provincial governments.</w:t>
      </w:r>
      <w:r w:rsidRPr="00B027A1">
        <w:rPr>
          <w:rStyle w:val="FootnoteReference"/>
          <w:rFonts w:eastAsiaTheme="majorEastAsia"/>
          <w:color w:val="000000" w:themeColor="text1"/>
        </w:rPr>
        <w:footnoteReference w:id="19"/>
      </w:r>
      <w:r w:rsidRPr="00B027A1">
        <w:rPr>
          <w:color w:val="000000" w:themeColor="text1"/>
        </w:rPr>
        <w:t xml:space="preserve"> Next came “the Bihar Dowry Restraint Act, 1950 and the Andhra Pradesh Dowry Prohibition Act, 1958”. Indeed, the provincial enactments did not bring the desired results, but they stimulated the general public to speak out against dowry as it began strangling society’s peace. The Central government may have considered eradicating dowry through “the Hindu Succession Act, 1956”, as the Act contains many provisions pertaining to women. </w:t>
      </w:r>
      <w:proofErr w:type="gramStart"/>
      <w:r w:rsidRPr="00B027A1">
        <w:rPr>
          <w:color w:val="000000" w:themeColor="text1"/>
        </w:rPr>
        <w:t>Due to ineffective awareness and proper implementation, most of these enactments remained on paper rather than curbing the menace of dowry.</w:t>
      </w:r>
      <w:proofErr w:type="gramEnd"/>
    </w:p>
    <w:p w14:paraId="47E2A44A" w14:textId="67A68796" w:rsidR="00F82AFE" w:rsidRPr="00B027A1" w:rsidRDefault="00F82AFE" w:rsidP="00B027A1">
      <w:pPr>
        <w:pStyle w:val="pb-2"/>
        <w:spacing w:before="0" w:beforeAutospacing="0" w:after="120" w:afterAutospacing="0"/>
        <w:jc w:val="both"/>
        <w:rPr>
          <w:color w:val="000000" w:themeColor="text1"/>
        </w:rPr>
      </w:pPr>
      <w:r w:rsidRPr="00B027A1">
        <w:rPr>
          <w:color w:val="000000" w:themeColor="text1"/>
        </w:rPr>
        <w:lastRenderedPageBreak/>
        <w:t>With an objective of eliminating the evil of the dowry system, the Dowry Prohibition Bill, 1959 was introduced on 24 April 1959 to address the persistent nature of the problem. The purpose of this bill was to prohibit the giving and taking of dowries in marriage.</w:t>
      </w:r>
    </w:p>
    <w:p w14:paraId="1D67C0BB" w14:textId="77777777" w:rsidR="00AB11CF" w:rsidRPr="00B027A1" w:rsidRDefault="00AB11CF" w:rsidP="00B027A1">
      <w:pPr>
        <w:pStyle w:val="pb-2"/>
        <w:spacing w:before="0" w:beforeAutospacing="0" w:after="120" w:afterAutospacing="0"/>
        <w:jc w:val="both"/>
        <w:rPr>
          <w:color w:val="000000" w:themeColor="text1"/>
        </w:rPr>
      </w:pPr>
      <w:r w:rsidRPr="00B027A1">
        <w:rPr>
          <w:color w:val="000000" w:themeColor="text1"/>
        </w:rPr>
        <w:t xml:space="preserve">“Lawmakers have attempted to maintain the balance between tradition and compulsion when it comes to gifting customary gifts to daughters on auspicious occasions. Furthermore, the law specifies that these gifts should only benefit such women. Based on the </w:t>
      </w:r>
      <w:r w:rsidRPr="00B027A1">
        <w:rPr>
          <w:rStyle w:val="issue-underline"/>
          <w:rFonts w:eastAsiaTheme="majorEastAsia"/>
          <w:color w:val="000000" w:themeColor="text1"/>
        </w:rPr>
        <w:t>recommendation of the Committee,</w:t>
      </w:r>
      <w:r w:rsidRPr="00B027A1">
        <w:rPr>
          <w:color w:val="000000" w:themeColor="text1"/>
        </w:rPr>
        <w:t xml:space="preserve"> the government issued instructions to the states and Union Territories to conduct detailed and compulsory investigations into dowry </w:t>
      </w:r>
      <w:r w:rsidRPr="00B027A1">
        <w:rPr>
          <w:rStyle w:val="issue-underline"/>
          <w:rFonts w:eastAsiaTheme="majorEastAsia"/>
          <w:color w:val="000000" w:themeColor="text1"/>
        </w:rPr>
        <w:t>deaths and to increase</w:t>
      </w:r>
      <w:r w:rsidRPr="00B027A1">
        <w:rPr>
          <w:color w:val="000000" w:themeColor="text1"/>
        </w:rPr>
        <w:t xml:space="preserve"> public awareness of dowry abuse. Upon receiving the government's replies, the joint committee of the houses made recommendations for amendments to the Indian Penal Code, </w:t>
      </w:r>
      <w:r w:rsidRPr="00B027A1">
        <w:rPr>
          <w:rStyle w:val="issue-underline"/>
          <w:rFonts w:eastAsiaTheme="majorEastAsia"/>
          <w:color w:val="000000" w:themeColor="text1"/>
        </w:rPr>
        <w:t>1860,</w:t>
      </w:r>
      <w:r w:rsidRPr="00B027A1">
        <w:rPr>
          <w:color w:val="000000" w:themeColor="text1"/>
        </w:rPr>
        <w:t xml:space="preserve"> the Indian Evidence Act, 1872, </w:t>
      </w:r>
      <w:r w:rsidRPr="00B027A1">
        <w:rPr>
          <w:rStyle w:val="issue-underline"/>
          <w:rFonts w:eastAsiaTheme="majorEastAsia"/>
          <w:color w:val="000000" w:themeColor="text1"/>
        </w:rPr>
        <w:t>and the</w:t>
      </w:r>
      <w:r w:rsidRPr="00B027A1">
        <w:rPr>
          <w:color w:val="000000" w:themeColor="text1"/>
        </w:rPr>
        <w:t xml:space="preserve"> </w:t>
      </w:r>
      <w:r w:rsidRPr="00B027A1">
        <w:rPr>
          <w:rStyle w:val="Strong"/>
          <w:b w:val="0"/>
          <w:bCs w:val="0"/>
          <w:color w:val="000000" w:themeColor="text1"/>
        </w:rPr>
        <w:t>Code of Criminal Procedure</w:t>
      </w:r>
      <w:r w:rsidRPr="00B027A1">
        <w:rPr>
          <w:b/>
          <w:bCs/>
          <w:color w:val="000000" w:themeColor="text1"/>
        </w:rPr>
        <w:t xml:space="preserve">, </w:t>
      </w:r>
      <w:r w:rsidRPr="00B027A1">
        <w:rPr>
          <w:color w:val="000000" w:themeColor="text1"/>
        </w:rPr>
        <w:t>1973. An amendment was made to the Indian Penal Code in 1983, and Section 498-A was added. As a result, cruelty to a wife became a cognizable and non-</w:t>
      </w:r>
      <w:proofErr w:type="spellStart"/>
      <w:r w:rsidRPr="00B027A1">
        <w:rPr>
          <w:color w:val="000000" w:themeColor="text1"/>
        </w:rPr>
        <w:t>bailable</w:t>
      </w:r>
      <w:proofErr w:type="spellEnd"/>
      <w:r w:rsidRPr="00B027A1">
        <w:rPr>
          <w:color w:val="000000" w:themeColor="text1"/>
        </w:rPr>
        <w:t xml:space="preserve"> offence, punishable up to three </w:t>
      </w:r>
      <w:r w:rsidRPr="00B027A1">
        <w:rPr>
          <w:rStyle w:val="issue-underline"/>
          <w:rFonts w:eastAsiaTheme="majorEastAsia"/>
          <w:color w:val="000000" w:themeColor="text1"/>
        </w:rPr>
        <w:t xml:space="preserve">years/ fine/ </w:t>
      </w:r>
      <w:proofErr w:type="gramStart"/>
      <w:r w:rsidRPr="00B027A1">
        <w:rPr>
          <w:rStyle w:val="issue-underline"/>
          <w:rFonts w:eastAsiaTheme="majorEastAsia"/>
          <w:color w:val="000000" w:themeColor="text1"/>
        </w:rPr>
        <w:t>Both</w:t>
      </w:r>
      <w:proofErr w:type="gramEnd"/>
      <w:r w:rsidRPr="00B027A1">
        <w:rPr>
          <w:rStyle w:val="issue-underline"/>
          <w:rFonts w:eastAsiaTheme="majorEastAsia"/>
          <w:color w:val="000000" w:themeColor="text1"/>
        </w:rPr>
        <w:t>.</w:t>
      </w:r>
      <w:r w:rsidRPr="00B027A1">
        <w:rPr>
          <w:color w:val="000000" w:themeColor="text1"/>
        </w:rPr>
        <w:t xml:space="preserve"> The Indian Penal Code was again amended in 1986 and Section 304 B was added </w:t>
      </w:r>
      <w:r w:rsidRPr="00B027A1">
        <w:rPr>
          <w:rStyle w:val="issue-underline"/>
          <w:rFonts w:eastAsiaTheme="majorEastAsia"/>
          <w:color w:val="000000" w:themeColor="text1"/>
        </w:rPr>
        <w:t>with minimum</w:t>
      </w:r>
      <w:r w:rsidRPr="00B027A1">
        <w:rPr>
          <w:color w:val="000000" w:themeColor="text1"/>
        </w:rPr>
        <w:t xml:space="preserve"> punishment of seven </w:t>
      </w:r>
      <w:r w:rsidRPr="00B027A1">
        <w:rPr>
          <w:rStyle w:val="issue-underline"/>
          <w:rFonts w:eastAsiaTheme="majorEastAsia"/>
          <w:color w:val="000000" w:themeColor="text1"/>
        </w:rPr>
        <w:t>years which</w:t>
      </w:r>
      <w:r w:rsidRPr="00B027A1">
        <w:rPr>
          <w:color w:val="000000" w:themeColor="text1"/>
        </w:rPr>
        <w:t xml:space="preserve"> may be extended </w:t>
      </w:r>
      <w:proofErr w:type="spellStart"/>
      <w:r w:rsidRPr="00B027A1">
        <w:rPr>
          <w:color w:val="000000" w:themeColor="text1"/>
        </w:rPr>
        <w:t>upto</w:t>
      </w:r>
      <w:proofErr w:type="spellEnd"/>
      <w:r w:rsidRPr="00B027A1">
        <w:rPr>
          <w:color w:val="000000" w:themeColor="text1"/>
        </w:rPr>
        <w:t xml:space="preserve"> life imprisonment for husband/ relatives.”</w:t>
      </w:r>
      <w:r w:rsidRPr="00B027A1">
        <w:rPr>
          <w:rStyle w:val="FootnoteReference"/>
          <w:rFonts w:eastAsiaTheme="majorEastAsia"/>
          <w:color w:val="000000" w:themeColor="text1"/>
        </w:rPr>
        <w:footnoteReference w:id="20"/>
      </w:r>
      <w:r w:rsidRPr="00B027A1">
        <w:rPr>
          <w:color w:val="000000" w:themeColor="text1"/>
        </w:rPr>
        <w:t xml:space="preserve"> </w:t>
      </w:r>
    </w:p>
    <w:p w14:paraId="3059815A" w14:textId="77777777" w:rsidR="00AB11CF" w:rsidRPr="00B027A1" w:rsidRDefault="00AB11CF" w:rsidP="00B027A1">
      <w:pPr>
        <w:pStyle w:val="pb-2"/>
        <w:spacing w:before="0" w:beforeAutospacing="0" w:after="120" w:afterAutospacing="0"/>
        <w:jc w:val="both"/>
        <w:rPr>
          <w:color w:val="000000" w:themeColor="text1"/>
        </w:rPr>
      </w:pPr>
      <w:r w:rsidRPr="00B027A1">
        <w:rPr>
          <w:color w:val="000000" w:themeColor="text1"/>
        </w:rPr>
        <w:t>“In the same year Section 113B was introduced into the Indian Evidence Act, 1872.</w:t>
      </w:r>
      <w:r w:rsidRPr="00B027A1">
        <w:rPr>
          <w:rFonts w:eastAsiaTheme="majorEastAsia"/>
          <w:color w:val="000000" w:themeColor="text1"/>
        </w:rPr>
        <w:t xml:space="preserve"> </w:t>
      </w:r>
      <w:r w:rsidRPr="00B027A1">
        <w:rPr>
          <w:color w:val="000000" w:themeColor="text1"/>
        </w:rPr>
        <w:t xml:space="preserve"> It provides that the Court can draw an inference of the crime of dowry death of a women if it is shown that soon before her death such woman has been subjected to cruelty by her husband or his relatives”.</w:t>
      </w:r>
      <w:r w:rsidRPr="00B027A1">
        <w:rPr>
          <w:rStyle w:val="FootnoteReference"/>
          <w:rFonts w:eastAsiaTheme="majorEastAsia"/>
          <w:color w:val="000000" w:themeColor="text1"/>
        </w:rPr>
        <w:t xml:space="preserve"> </w:t>
      </w:r>
      <w:r w:rsidRPr="00B027A1">
        <w:rPr>
          <w:rStyle w:val="FootnoteReference"/>
          <w:rFonts w:eastAsiaTheme="majorEastAsia"/>
          <w:color w:val="000000" w:themeColor="text1"/>
        </w:rPr>
        <w:footnoteReference w:id="21"/>
      </w:r>
    </w:p>
    <w:p w14:paraId="74C4351B" w14:textId="51D6C008" w:rsidR="00AB11CF" w:rsidRPr="00B027A1" w:rsidRDefault="00F33E8F" w:rsidP="00B027A1">
      <w:pPr>
        <w:spacing w:after="120"/>
        <w:jc w:val="both"/>
        <w:rPr>
          <w:b/>
          <w:bCs/>
          <w:color w:val="000000" w:themeColor="text1"/>
        </w:rPr>
      </w:pPr>
      <w:r w:rsidRPr="00B027A1">
        <w:rPr>
          <w:b/>
          <w:bCs/>
          <w:color w:val="000000"/>
        </w:rPr>
        <w:t>NAVIGATING CHANGE: EXPLORING INDIA'S LATEST CRIMINAL LAWS ON DOWRY</w:t>
      </w:r>
    </w:p>
    <w:p w14:paraId="73FF6A99" w14:textId="5265E053" w:rsidR="00C87F3E" w:rsidRPr="00B027A1" w:rsidRDefault="00EC6DBD" w:rsidP="00B027A1">
      <w:pPr>
        <w:spacing w:after="120"/>
        <w:jc w:val="both"/>
      </w:pPr>
      <w:r w:rsidRPr="00B027A1">
        <w:t xml:space="preserve">In 2020, the Ministry of Home Affairs constituted a committee which was headed by </w:t>
      </w:r>
      <w:proofErr w:type="spellStart"/>
      <w:r w:rsidRPr="00B027A1">
        <w:t>Dr.</w:t>
      </w:r>
      <w:proofErr w:type="spellEnd"/>
      <w:r w:rsidRPr="00B027A1">
        <w:t xml:space="preserve"> </w:t>
      </w:r>
      <w:proofErr w:type="spellStart"/>
      <w:r w:rsidRPr="00B027A1">
        <w:t>Ranbir</w:t>
      </w:r>
      <w:proofErr w:type="spellEnd"/>
      <w:r w:rsidRPr="00B027A1">
        <w:t xml:space="preserve"> Singh former. </w:t>
      </w:r>
      <w:proofErr w:type="gramStart"/>
      <w:r w:rsidRPr="00B027A1">
        <w:t>VC of NLU Delhi.</w:t>
      </w:r>
      <w:proofErr w:type="gramEnd"/>
      <w:r w:rsidRPr="00B027A1">
        <w:t xml:space="preserve"> The committee was tasked with reviewing the existing three Codes of Criminal Law i.e., Indian Penal Code, 1860 (IPC), Criminal Procedure Code, 1898 (</w:t>
      </w:r>
      <w:proofErr w:type="spellStart"/>
      <w:r w:rsidRPr="00B027A1">
        <w:t>Cr.PC</w:t>
      </w:r>
      <w:proofErr w:type="spellEnd"/>
      <w:r w:rsidRPr="00B027A1">
        <w:t xml:space="preserve">) and Indian Evidence Act, 1872 (IEA). </w:t>
      </w:r>
      <w:r w:rsidR="00A916A2" w:rsidRPr="00B027A1">
        <w:rPr>
          <w:rStyle w:val="FootnoteReference"/>
        </w:rPr>
        <w:footnoteReference w:id="22"/>
      </w:r>
    </w:p>
    <w:p w14:paraId="05E24B3C" w14:textId="56527F29" w:rsidR="00EC6DBD" w:rsidRPr="00B027A1" w:rsidRDefault="00EC6DBD" w:rsidP="00B027A1">
      <w:pPr>
        <w:spacing w:after="120"/>
        <w:jc w:val="both"/>
      </w:pPr>
      <w:r w:rsidRPr="00B027A1">
        <w:t>On 11</w:t>
      </w:r>
      <w:r w:rsidRPr="00B027A1">
        <w:rPr>
          <w:vertAlign w:val="superscript"/>
        </w:rPr>
        <w:t>th</w:t>
      </w:r>
      <w:r w:rsidRPr="00B027A1">
        <w:t xml:space="preserve"> August 2023, the </w:t>
      </w:r>
      <w:r w:rsidR="0048108C" w:rsidRPr="00B027A1">
        <w:t>Centre</w:t>
      </w:r>
      <w:r w:rsidRPr="00B027A1">
        <w:t xml:space="preserve"> proposed 3 bills and following Standing Committee recommendations, amended bills were reintroduced in </w:t>
      </w:r>
      <w:proofErr w:type="spellStart"/>
      <w:r w:rsidRPr="00B027A1">
        <w:t>Lok</w:t>
      </w:r>
      <w:proofErr w:type="spellEnd"/>
      <w:r w:rsidRPr="00B027A1">
        <w:t xml:space="preserve"> </w:t>
      </w:r>
      <w:proofErr w:type="spellStart"/>
      <w:r w:rsidRPr="00B027A1">
        <w:t>Sabha</w:t>
      </w:r>
      <w:proofErr w:type="spellEnd"/>
      <w:r w:rsidRPr="00B027A1">
        <w:t xml:space="preserve"> on 12</w:t>
      </w:r>
      <w:r w:rsidRPr="00B027A1">
        <w:rPr>
          <w:vertAlign w:val="superscript"/>
        </w:rPr>
        <w:t>th</w:t>
      </w:r>
      <w:r w:rsidRPr="00B027A1">
        <w:t xml:space="preserve"> December, 2023 and was approved by the both the Houses of Parliament.</w:t>
      </w:r>
    </w:p>
    <w:p w14:paraId="2E173A71" w14:textId="77777777" w:rsidR="00EC6DBD" w:rsidRPr="00B027A1" w:rsidRDefault="00EC6DBD" w:rsidP="00B027A1">
      <w:pPr>
        <w:spacing w:after="120"/>
        <w:jc w:val="both"/>
      </w:pPr>
      <w:r w:rsidRPr="00B027A1">
        <w:t xml:space="preserve">The Act introduced by Central Government </w:t>
      </w:r>
      <w:proofErr w:type="gramStart"/>
      <w:r w:rsidRPr="00B027A1">
        <w:t>are</w:t>
      </w:r>
      <w:proofErr w:type="gramEnd"/>
      <w:r w:rsidRPr="00B027A1">
        <w:t>:</w:t>
      </w:r>
    </w:p>
    <w:p w14:paraId="099E6D4F" w14:textId="70933ED0" w:rsidR="00EC6DBD" w:rsidRPr="00B027A1" w:rsidRDefault="00AB0DA1" w:rsidP="00B027A1">
      <w:pPr>
        <w:pStyle w:val="ListParagraph"/>
        <w:numPr>
          <w:ilvl w:val="0"/>
          <w:numId w:val="5"/>
        </w:numPr>
        <w:spacing w:after="120"/>
        <w:contextualSpacing w:val="0"/>
        <w:jc w:val="both"/>
      </w:pPr>
      <w:r w:rsidRPr="00B027A1">
        <w:t xml:space="preserve">The </w:t>
      </w:r>
      <w:proofErr w:type="spellStart"/>
      <w:r w:rsidR="00E33CB1" w:rsidRPr="00B027A1">
        <w:t>Bhartiya</w:t>
      </w:r>
      <w:proofErr w:type="spellEnd"/>
      <w:r w:rsidR="00E33CB1" w:rsidRPr="00B027A1">
        <w:t xml:space="preserve"> </w:t>
      </w:r>
      <w:proofErr w:type="spellStart"/>
      <w:r w:rsidR="00E33CB1" w:rsidRPr="00B027A1">
        <w:t>Nyaya</w:t>
      </w:r>
      <w:proofErr w:type="spellEnd"/>
      <w:r w:rsidR="00E33CB1" w:rsidRPr="00B027A1">
        <w:t xml:space="preserve"> </w:t>
      </w:r>
      <w:proofErr w:type="spellStart"/>
      <w:r w:rsidR="00E33CB1" w:rsidRPr="00B027A1">
        <w:t>Sanhita</w:t>
      </w:r>
      <w:proofErr w:type="spellEnd"/>
      <w:r w:rsidR="003855AB" w:rsidRPr="00B027A1">
        <w:t xml:space="preserve">, 2023 </w:t>
      </w:r>
      <w:r w:rsidR="00EC6DBD" w:rsidRPr="00B027A1">
        <w:t xml:space="preserve">herein referred as </w:t>
      </w:r>
      <w:proofErr w:type="gramStart"/>
      <w:r w:rsidR="00EC6DBD" w:rsidRPr="00B027A1">
        <w:t>“ BNS</w:t>
      </w:r>
      <w:proofErr w:type="gramEnd"/>
      <w:r w:rsidR="00EC6DBD" w:rsidRPr="00B027A1">
        <w:t xml:space="preserve"> Act”</w:t>
      </w:r>
      <w:r w:rsidR="00A916A2" w:rsidRPr="00B027A1">
        <w:t xml:space="preserve">. </w:t>
      </w:r>
    </w:p>
    <w:p w14:paraId="49285603" w14:textId="1ED10E78" w:rsidR="00EC6DBD" w:rsidRPr="00B027A1" w:rsidRDefault="00AB0DA1" w:rsidP="00B027A1">
      <w:pPr>
        <w:pStyle w:val="ListParagraph"/>
        <w:numPr>
          <w:ilvl w:val="0"/>
          <w:numId w:val="5"/>
        </w:numPr>
        <w:spacing w:after="120"/>
        <w:contextualSpacing w:val="0"/>
        <w:jc w:val="both"/>
      </w:pPr>
      <w:r w:rsidRPr="00B027A1">
        <w:t xml:space="preserve">The </w:t>
      </w:r>
      <w:proofErr w:type="spellStart"/>
      <w:r w:rsidR="00EC6DBD" w:rsidRPr="00B027A1">
        <w:t>Bhartiya</w:t>
      </w:r>
      <w:proofErr w:type="spellEnd"/>
      <w:r w:rsidR="00EC6DBD" w:rsidRPr="00B027A1">
        <w:t xml:space="preserve"> </w:t>
      </w:r>
      <w:proofErr w:type="spellStart"/>
      <w:r w:rsidR="00EC6DBD" w:rsidRPr="00B027A1">
        <w:t>Sakshya</w:t>
      </w:r>
      <w:proofErr w:type="spellEnd"/>
      <w:r w:rsidR="00EC6DBD" w:rsidRPr="00B027A1">
        <w:t xml:space="preserve"> </w:t>
      </w:r>
      <w:proofErr w:type="spellStart"/>
      <w:r w:rsidR="003855AB" w:rsidRPr="00B027A1">
        <w:t>Adhiniyam</w:t>
      </w:r>
      <w:proofErr w:type="spellEnd"/>
      <w:r w:rsidR="003855AB" w:rsidRPr="00B027A1">
        <w:t xml:space="preserve">, 2023 </w:t>
      </w:r>
      <w:r w:rsidR="00F77874" w:rsidRPr="00B027A1">
        <w:t>herein referred as “BS</w:t>
      </w:r>
      <w:r w:rsidR="003855AB" w:rsidRPr="00B027A1">
        <w:t>A</w:t>
      </w:r>
      <w:r w:rsidR="00F77874" w:rsidRPr="00B027A1">
        <w:t xml:space="preserve"> Act”</w:t>
      </w:r>
      <w:r w:rsidR="00A916A2" w:rsidRPr="00B027A1">
        <w:t>.</w:t>
      </w:r>
    </w:p>
    <w:p w14:paraId="0738F355" w14:textId="5524E523" w:rsidR="00F77874" w:rsidRPr="00B027A1" w:rsidRDefault="00F77874" w:rsidP="00B027A1">
      <w:pPr>
        <w:pStyle w:val="ListParagraph"/>
        <w:numPr>
          <w:ilvl w:val="0"/>
          <w:numId w:val="5"/>
        </w:numPr>
        <w:spacing w:after="120"/>
        <w:contextualSpacing w:val="0"/>
        <w:jc w:val="both"/>
      </w:pPr>
      <w:proofErr w:type="spellStart"/>
      <w:r w:rsidRPr="00B027A1">
        <w:t>Bhartiya</w:t>
      </w:r>
      <w:proofErr w:type="spellEnd"/>
      <w:r w:rsidRPr="00B027A1">
        <w:t xml:space="preserve"> </w:t>
      </w:r>
      <w:proofErr w:type="spellStart"/>
      <w:r w:rsidRPr="00B027A1">
        <w:t>Nagarik</w:t>
      </w:r>
      <w:proofErr w:type="spellEnd"/>
      <w:r w:rsidRPr="00B027A1">
        <w:t xml:space="preserve"> </w:t>
      </w:r>
      <w:proofErr w:type="spellStart"/>
      <w:r w:rsidRPr="00B027A1">
        <w:t>Suraksha</w:t>
      </w:r>
      <w:proofErr w:type="spellEnd"/>
      <w:r w:rsidRPr="00B027A1">
        <w:t xml:space="preserve"> </w:t>
      </w:r>
      <w:proofErr w:type="spellStart"/>
      <w:r w:rsidRPr="00B027A1">
        <w:t>Sanhita</w:t>
      </w:r>
      <w:proofErr w:type="spellEnd"/>
      <w:r w:rsidR="003855AB" w:rsidRPr="00B027A1">
        <w:t xml:space="preserve">, 2023 </w:t>
      </w:r>
      <w:r w:rsidRPr="00B027A1">
        <w:t>herein referred as “BNSS Act”</w:t>
      </w:r>
      <w:r w:rsidR="00A916A2" w:rsidRPr="00B027A1">
        <w:t>.</w:t>
      </w:r>
    </w:p>
    <w:p w14:paraId="0CFA2A0A" w14:textId="49E8EE1C" w:rsidR="00F77874" w:rsidRPr="00B027A1" w:rsidRDefault="00F77874" w:rsidP="00B027A1">
      <w:pPr>
        <w:spacing w:after="120"/>
        <w:jc w:val="both"/>
      </w:pPr>
      <w:r w:rsidRPr="00B027A1">
        <w:lastRenderedPageBreak/>
        <w:t xml:space="preserve">The Bills obtained President </w:t>
      </w:r>
      <w:proofErr w:type="gramStart"/>
      <w:r w:rsidRPr="00B027A1">
        <w:t>assent</w:t>
      </w:r>
      <w:proofErr w:type="gramEnd"/>
      <w:r w:rsidRPr="00B027A1">
        <w:t xml:space="preserve"> on 25</w:t>
      </w:r>
      <w:r w:rsidRPr="00B027A1">
        <w:rPr>
          <w:vertAlign w:val="superscript"/>
        </w:rPr>
        <w:t>th</w:t>
      </w:r>
      <w:r w:rsidRPr="00B027A1">
        <w:t xml:space="preserve"> December, 2023 and will be recognized as Acts. </w:t>
      </w:r>
      <w:r w:rsidR="00A43E34" w:rsidRPr="00B027A1">
        <w:rPr>
          <w:rStyle w:val="FootnoteReference"/>
        </w:rPr>
        <w:footnoteReference w:id="23"/>
      </w:r>
    </w:p>
    <w:p w14:paraId="573D14C3" w14:textId="103763CE" w:rsidR="00EC6DBD" w:rsidRPr="00B027A1" w:rsidRDefault="00F77874" w:rsidP="00B027A1">
      <w:pPr>
        <w:spacing w:after="120"/>
        <w:jc w:val="both"/>
        <w:rPr>
          <w:b/>
          <w:bCs/>
        </w:rPr>
      </w:pPr>
      <w:r w:rsidRPr="00B027A1">
        <w:rPr>
          <w:b/>
          <w:bCs/>
        </w:rPr>
        <w:t xml:space="preserve">Table Comparing Numbers of Section in existing Acts and Proposed Legislations </w:t>
      </w:r>
    </w:p>
    <w:p w14:paraId="281CE11E" w14:textId="7A8B2ACD" w:rsidR="00C87F3E" w:rsidRPr="00B027A1" w:rsidRDefault="00C87F3E" w:rsidP="00B027A1">
      <w:pPr>
        <w:spacing w:after="120"/>
        <w:jc w:val="center"/>
        <w:rPr>
          <w:b/>
          <w:bCs/>
        </w:rPr>
      </w:pPr>
      <w:r w:rsidRPr="00B027A1">
        <w:rPr>
          <w:b/>
          <w:bCs/>
        </w:rPr>
        <w:t>Table 1.1</w:t>
      </w:r>
    </w:p>
    <w:tbl>
      <w:tblPr>
        <w:tblStyle w:val="TableGrid"/>
        <w:tblW w:w="0" w:type="auto"/>
        <w:tblLook w:val="04A0" w:firstRow="1" w:lastRow="0" w:firstColumn="1" w:lastColumn="0" w:noHBand="0" w:noVBand="1"/>
      </w:tblPr>
      <w:tblGrid>
        <w:gridCol w:w="4508"/>
        <w:gridCol w:w="4508"/>
      </w:tblGrid>
      <w:tr w:rsidR="00F77874" w:rsidRPr="00B027A1" w14:paraId="26952FAD" w14:textId="77777777" w:rsidTr="00F33E8F">
        <w:tc>
          <w:tcPr>
            <w:tcW w:w="4508" w:type="dxa"/>
          </w:tcPr>
          <w:p w14:paraId="439053BF" w14:textId="1C7DB7B6" w:rsidR="00F77874" w:rsidRPr="00B027A1" w:rsidRDefault="00F77874" w:rsidP="00F33E8F">
            <w:pPr>
              <w:jc w:val="center"/>
              <w:rPr>
                <w:b/>
                <w:bCs/>
                <w:color w:val="000000" w:themeColor="text1"/>
              </w:rPr>
            </w:pPr>
            <w:r w:rsidRPr="00B027A1">
              <w:rPr>
                <w:b/>
                <w:bCs/>
                <w:color w:val="000000" w:themeColor="text1"/>
              </w:rPr>
              <w:t>Old Legislations</w:t>
            </w:r>
          </w:p>
        </w:tc>
        <w:tc>
          <w:tcPr>
            <w:tcW w:w="4508" w:type="dxa"/>
          </w:tcPr>
          <w:p w14:paraId="12E998BC" w14:textId="1DFD7FE9" w:rsidR="00F77874" w:rsidRPr="00B027A1" w:rsidRDefault="00F77874" w:rsidP="00F33E8F">
            <w:pPr>
              <w:jc w:val="center"/>
              <w:rPr>
                <w:b/>
                <w:bCs/>
                <w:color w:val="000000" w:themeColor="text1"/>
              </w:rPr>
            </w:pPr>
            <w:r w:rsidRPr="00B027A1">
              <w:rPr>
                <w:b/>
                <w:bCs/>
                <w:color w:val="000000" w:themeColor="text1"/>
              </w:rPr>
              <w:t>New Legislations</w:t>
            </w:r>
          </w:p>
        </w:tc>
      </w:tr>
      <w:tr w:rsidR="00F77874" w:rsidRPr="00B027A1" w14:paraId="0DF35327" w14:textId="77777777" w:rsidTr="00F33E8F">
        <w:tc>
          <w:tcPr>
            <w:tcW w:w="4508" w:type="dxa"/>
          </w:tcPr>
          <w:p w14:paraId="4452CF59" w14:textId="2120D4DE" w:rsidR="00F77874" w:rsidRPr="00B027A1" w:rsidRDefault="00F77874" w:rsidP="00F33E8F">
            <w:pPr>
              <w:jc w:val="center"/>
              <w:rPr>
                <w:color w:val="000000" w:themeColor="text1"/>
              </w:rPr>
            </w:pPr>
            <w:r w:rsidRPr="00B027A1">
              <w:rPr>
                <w:color w:val="000000" w:themeColor="text1"/>
              </w:rPr>
              <w:t>IPC – 511 Sections</w:t>
            </w:r>
          </w:p>
        </w:tc>
        <w:tc>
          <w:tcPr>
            <w:tcW w:w="4508" w:type="dxa"/>
          </w:tcPr>
          <w:p w14:paraId="37E95875" w14:textId="19BA7D9D" w:rsidR="00F77874" w:rsidRPr="00B027A1" w:rsidRDefault="00F77874" w:rsidP="00F33E8F">
            <w:pPr>
              <w:jc w:val="center"/>
              <w:rPr>
                <w:color w:val="000000" w:themeColor="text1"/>
              </w:rPr>
            </w:pPr>
            <w:r w:rsidRPr="00B027A1">
              <w:rPr>
                <w:color w:val="000000" w:themeColor="text1"/>
              </w:rPr>
              <w:t>BNS – 358</w:t>
            </w:r>
            <w:r w:rsidR="003855AB" w:rsidRPr="00B027A1">
              <w:rPr>
                <w:color w:val="000000" w:themeColor="text1"/>
              </w:rPr>
              <w:t xml:space="preserve"> </w:t>
            </w:r>
            <w:r w:rsidR="00AB0DA1" w:rsidRPr="00B027A1">
              <w:rPr>
                <w:color w:val="000000" w:themeColor="text1"/>
              </w:rPr>
              <w:t>Clauses</w:t>
            </w:r>
          </w:p>
        </w:tc>
      </w:tr>
      <w:tr w:rsidR="00F77874" w:rsidRPr="00B027A1" w14:paraId="146CABDB" w14:textId="77777777" w:rsidTr="00F33E8F">
        <w:tc>
          <w:tcPr>
            <w:tcW w:w="4508" w:type="dxa"/>
          </w:tcPr>
          <w:p w14:paraId="4AC9C00E" w14:textId="39BB0F67" w:rsidR="00F77874" w:rsidRPr="00B027A1" w:rsidRDefault="00F77874" w:rsidP="00F33E8F">
            <w:pPr>
              <w:jc w:val="center"/>
              <w:rPr>
                <w:color w:val="000000" w:themeColor="text1"/>
              </w:rPr>
            </w:pPr>
            <w:r w:rsidRPr="00B027A1">
              <w:rPr>
                <w:color w:val="000000" w:themeColor="text1"/>
              </w:rPr>
              <w:t>Cr. PC – 484 Sections</w:t>
            </w:r>
          </w:p>
        </w:tc>
        <w:tc>
          <w:tcPr>
            <w:tcW w:w="4508" w:type="dxa"/>
          </w:tcPr>
          <w:p w14:paraId="38D9BE77" w14:textId="39086074" w:rsidR="00F77874" w:rsidRPr="00B027A1" w:rsidRDefault="00F77874" w:rsidP="00F33E8F">
            <w:pPr>
              <w:jc w:val="center"/>
              <w:rPr>
                <w:color w:val="000000" w:themeColor="text1"/>
              </w:rPr>
            </w:pPr>
            <w:r w:rsidRPr="00B027A1">
              <w:rPr>
                <w:color w:val="000000" w:themeColor="text1"/>
              </w:rPr>
              <w:t xml:space="preserve">BNSS – 531 </w:t>
            </w:r>
            <w:r w:rsidR="00AB0DA1" w:rsidRPr="00B027A1">
              <w:rPr>
                <w:color w:val="000000" w:themeColor="text1"/>
              </w:rPr>
              <w:t>Clauses</w:t>
            </w:r>
          </w:p>
        </w:tc>
      </w:tr>
      <w:tr w:rsidR="00F77874" w:rsidRPr="00B027A1" w14:paraId="6A726A34" w14:textId="77777777" w:rsidTr="00F33E8F">
        <w:tc>
          <w:tcPr>
            <w:tcW w:w="4508" w:type="dxa"/>
          </w:tcPr>
          <w:p w14:paraId="414A3D9C" w14:textId="47B31FC6" w:rsidR="00F77874" w:rsidRPr="00B027A1" w:rsidRDefault="00F77874" w:rsidP="00F33E8F">
            <w:pPr>
              <w:jc w:val="center"/>
              <w:rPr>
                <w:color w:val="000000" w:themeColor="text1"/>
              </w:rPr>
            </w:pPr>
            <w:r w:rsidRPr="00B027A1">
              <w:rPr>
                <w:color w:val="000000" w:themeColor="text1"/>
              </w:rPr>
              <w:t>Evidence Act – 167 Sections</w:t>
            </w:r>
          </w:p>
        </w:tc>
        <w:tc>
          <w:tcPr>
            <w:tcW w:w="4508" w:type="dxa"/>
          </w:tcPr>
          <w:p w14:paraId="582A5101" w14:textId="4CFF9DFC" w:rsidR="00F77874" w:rsidRPr="00B027A1" w:rsidRDefault="00F77874" w:rsidP="00F33E8F">
            <w:pPr>
              <w:jc w:val="center"/>
              <w:rPr>
                <w:color w:val="000000" w:themeColor="text1"/>
              </w:rPr>
            </w:pPr>
            <w:r w:rsidRPr="00B027A1">
              <w:rPr>
                <w:color w:val="000000" w:themeColor="text1"/>
              </w:rPr>
              <w:t>BS</w:t>
            </w:r>
            <w:r w:rsidR="00AB0DA1" w:rsidRPr="00B027A1">
              <w:rPr>
                <w:color w:val="000000" w:themeColor="text1"/>
              </w:rPr>
              <w:t>A</w:t>
            </w:r>
            <w:r w:rsidRPr="00B027A1">
              <w:rPr>
                <w:color w:val="000000" w:themeColor="text1"/>
              </w:rPr>
              <w:t xml:space="preserve">– 170 </w:t>
            </w:r>
            <w:r w:rsidR="00AB0DA1" w:rsidRPr="00B027A1">
              <w:rPr>
                <w:color w:val="000000" w:themeColor="text1"/>
              </w:rPr>
              <w:t>Clauses</w:t>
            </w:r>
          </w:p>
        </w:tc>
      </w:tr>
    </w:tbl>
    <w:p w14:paraId="78DDBEA2" w14:textId="14A94066" w:rsidR="00F82AFE" w:rsidRPr="00F33E8F" w:rsidRDefault="00C87F3E" w:rsidP="00F33E8F">
      <w:pPr>
        <w:spacing w:before="120" w:after="120"/>
        <w:jc w:val="center"/>
        <w:rPr>
          <w:b/>
          <w:iCs/>
          <w:color w:val="000000" w:themeColor="text1"/>
        </w:rPr>
      </w:pPr>
      <w:r w:rsidRPr="00F33E8F">
        <w:rPr>
          <w:b/>
          <w:iCs/>
          <w:color w:val="000000" w:themeColor="text1"/>
        </w:rPr>
        <w:t>Self- Created Table</w:t>
      </w:r>
    </w:p>
    <w:p w14:paraId="6DE74DF3" w14:textId="0CE1BB77" w:rsidR="00F82AFE" w:rsidRPr="00B027A1" w:rsidRDefault="00F33E8F" w:rsidP="00B027A1">
      <w:pPr>
        <w:spacing w:after="120"/>
        <w:jc w:val="both"/>
        <w:rPr>
          <w:b/>
          <w:bCs/>
          <w:color w:val="000000" w:themeColor="text1"/>
        </w:rPr>
      </w:pPr>
      <w:r w:rsidRPr="00B027A1">
        <w:rPr>
          <w:b/>
          <w:bCs/>
          <w:color w:val="000000" w:themeColor="text1"/>
        </w:rPr>
        <w:t xml:space="preserve">NEED FOR THE THESE NEW ACTS </w:t>
      </w:r>
    </w:p>
    <w:p w14:paraId="3CF9342A" w14:textId="6E7E4004" w:rsidR="00F77874" w:rsidRPr="00B027A1" w:rsidRDefault="00F77874" w:rsidP="00B027A1">
      <w:pPr>
        <w:pStyle w:val="ListParagraph"/>
        <w:numPr>
          <w:ilvl w:val="0"/>
          <w:numId w:val="6"/>
        </w:numPr>
        <w:spacing w:after="120"/>
        <w:contextualSpacing w:val="0"/>
        <w:jc w:val="both"/>
        <w:rPr>
          <w:color w:val="000000" w:themeColor="text1"/>
        </w:rPr>
      </w:pPr>
      <w:r w:rsidRPr="00B027A1">
        <w:rPr>
          <w:color w:val="000000" w:themeColor="text1"/>
        </w:rPr>
        <w:t xml:space="preserve">The existing laws were from the colonial era and they were the exact replica of British Criminal jurisprudence and those were designed to rule and oppress the Indian and not to serve or provide justice but merely </w:t>
      </w:r>
      <w:proofErr w:type="gramStart"/>
      <w:r w:rsidRPr="00B027A1">
        <w:rPr>
          <w:color w:val="000000" w:themeColor="text1"/>
        </w:rPr>
        <w:t>to  punish</w:t>
      </w:r>
      <w:proofErr w:type="gramEnd"/>
      <w:r w:rsidRPr="00B027A1">
        <w:rPr>
          <w:color w:val="000000" w:themeColor="text1"/>
        </w:rPr>
        <w:t xml:space="preserve"> them. </w:t>
      </w:r>
    </w:p>
    <w:p w14:paraId="00A5937F" w14:textId="367A874B" w:rsidR="00F82AFE" w:rsidRPr="00B027A1" w:rsidRDefault="00F77874" w:rsidP="00B027A1">
      <w:pPr>
        <w:pStyle w:val="NormalWeb"/>
        <w:numPr>
          <w:ilvl w:val="0"/>
          <w:numId w:val="6"/>
        </w:numPr>
        <w:spacing w:before="0" w:beforeAutospacing="0" w:after="120" w:afterAutospacing="0"/>
        <w:jc w:val="both"/>
        <w:rPr>
          <w:color w:val="000000"/>
        </w:rPr>
      </w:pPr>
      <w:r w:rsidRPr="00B027A1">
        <w:rPr>
          <w:color w:val="000000"/>
        </w:rPr>
        <w:t xml:space="preserve">Many of the section were irrelevant in current scenario as we as a society has come a long way and evolved in every aspect as society. </w:t>
      </w:r>
    </w:p>
    <w:p w14:paraId="7AC33B8A" w14:textId="4B905525" w:rsidR="00F77874" w:rsidRDefault="00F77874" w:rsidP="00B027A1">
      <w:pPr>
        <w:pStyle w:val="NormalWeb"/>
        <w:numPr>
          <w:ilvl w:val="0"/>
          <w:numId w:val="6"/>
        </w:numPr>
        <w:spacing w:before="0" w:beforeAutospacing="0" w:after="120" w:afterAutospacing="0"/>
        <w:jc w:val="both"/>
        <w:rPr>
          <w:color w:val="000000"/>
        </w:rPr>
      </w:pPr>
      <w:r w:rsidRPr="00B027A1">
        <w:rPr>
          <w:color w:val="000000"/>
        </w:rPr>
        <w:t xml:space="preserve">One of the major needs to constitute these 2 Acts is to make the criminal justice system more efficient. </w:t>
      </w:r>
    </w:p>
    <w:p w14:paraId="61CC3071" w14:textId="77777777" w:rsidR="00F33E8F" w:rsidRPr="00B027A1" w:rsidRDefault="00F33E8F" w:rsidP="00F33E8F">
      <w:pPr>
        <w:pStyle w:val="NormalWeb"/>
        <w:spacing w:before="0" w:beforeAutospacing="0" w:after="120" w:afterAutospacing="0"/>
        <w:ind w:left="720"/>
        <w:jc w:val="both"/>
        <w:rPr>
          <w:color w:val="000000"/>
        </w:rPr>
      </w:pPr>
    </w:p>
    <w:p w14:paraId="3057CB78" w14:textId="23327556" w:rsidR="00F77874" w:rsidRPr="00B027A1" w:rsidRDefault="00F33E8F" w:rsidP="00B027A1">
      <w:pPr>
        <w:spacing w:after="120"/>
        <w:jc w:val="both"/>
        <w:rPr>
          <w:b/>
          <w:bCs/>
        </w:rPr>
      </w:pPr>
      <w:r w:rsidRPr="00B027A1">
        <w:rPr>
          <w:b/>
          <w:bCs/>
        </w:rPr>
        <w:t>TABLE COMPARING EXISTING DOWRY LAWS AND PROPOSED DOWRY LEGISLATIONS IN NEW CRIMINAL LAWS</w:t>
      </w:r>
    </w:p>
    <w:p w14:paraId="45F8A0FC" w14:textId="4F4007E8" w:rsidR="00C87F3E" w:rsidRPr="00B027A1" w:rsidRDefault="00C87F3E" w:rsidP="00B027A1">
      <w:pPr>
        <w:spacing w:after="120"/>
        <w:jc w:val="center"/>
        <w:rPr>
          <w:b/>
          <w:bCs/>
        </w:rPr>
      </w:pPr>
      <w:r w:rsidRPr="00B027A1">
        <w:rPr>
          <w:b/>
          <w:bCs/>
        </w:rPr>
        <w:t>Table 1.2</w:t>
      </w:r>
    </w:p>
    <w:tbl>
      <w:tblPr>
        <w:tblStyle w:val="TableGrid"/>
        <w:tblW w:w="9000" w:type="dxa"/>
        <w:tblInd w:w="108" w:type="dxa"/>
        <w:tblLayout w:type="fixed"/>
        <w:tblLook w:val="04A0" w:firstRow="1" w:lastRow="0" w:firstColumn="1" w:lastColumn="0" w:noHBand="0" w:noVBand="1"/>
      </w:tblPr>
      <w:tblGrid>
        <w:gridCol w:w="1447"/>
        <w:gridCol w:w="1433"/>
        <w:gridCol w:w="1260"/>
        <w:gridCol w:w="1620"/>
        <w:gridCol w:w="2070"/>
        <w:gridCol w:w="1170"/>
      </w:tblGrid>
      <w:tr w:rsidR="0034196F" w:rsidRPr="00B027A1" w14:paraId="70A1183E" w14:textId="77777777" w:rsidTr="00F33E8F">
        <w:tc>
          <w:tcPr>
            <w:tcW w:w="1447" w:type="dxa"/>
          </w:tcPr>
          <w:p w14:paraId="3DCB8885" w14:textId="694744D7" w:rsidR="00E33CB1" w:rsidRPr="00B027A1" w:rsidRDefault="0034196F" w:rsidP="00F33E8F">
            <w:pPr>
              <w:jc w:val="center"/>
              <w:rPr>
                <w:b/>
                <w:bCs/>
              </w:rPr>
            </w:pPr>
            <w:r w:rsidRPr="00B027A1">
              <w:rPr>
                <w:b/>
                <w:bCs/>
              </w:rPr>
              <w:t>Old Legislations</w:t>
            </w:r>
          </w:p>
        </w:tc>
        <w:tc>
          <w:tcPr>
            <w:tcW w:w="1433" w:type="dxa"/>
          </w:tcPr>
          <w:p w14:paraId="2F17D287" w14:textId="632D945B" w:rsidR="00E33CB1" w:rsidRPr="00B027A1" w:rsidRDefault="0034196F" w:rsidP="00F33E8F">
            <w:pPr>
              <w:jc w:val="center"/>
              <w:rPr>
                <w:b/>
                <w:bCs/>
              </w:rPr>
            </w:pPr>
            <w:r w:rsidRPr="00B027A1">
              <w:rPr>
                <w:b/>
                <w:bCs/>
              </w:rPr>
              <w:t>Offence</w:t>
            </w:r>
          </w:p>
        </w:tc>
        <w:tc>
          <w:tcPr>
            <w:tcW w:w="1260" w:type="dxa"/>
          </w:tcPr>
          <w:p w14:paraId="3FF45FB5" w14:textId="0854DE6B" w:rsidR="00E33CB1" w:rsidRPr="00B027A1" w:rsidRDefault="00E33CB1" w:rsidP="00F33E8F">
            <w:pPr>
              <w:jc w:val="center"/>
              <w:rPr>
                <w:b/>
                <w:bCs/>
              </w:rPr>
            </w:pPr>
            <w:r w:rsidRPr="00B027A1">
              <w:rPr>
                <w:b/>
                <w:bCs/>
              </w:rPr>
              <w:t>Sections</w:t>
            </w:r>
          </w:p>
        </w:tc>
        <w:tc>
          <w:tcPr>
            <w:tcW w:w="1620" w:type="dxa"/>
          </w:tcPr>
          <w:p w14:paraId="6097DA4E" w14:textId="66A14E02" w:rsidR="00E33CB1" w:rsidRPr="00B027A1" w:rsidRDefault="0034196F" w:rsidP="00F33E8F">
            <w:pPr>
              <w:jc w:val="center"/>
              <w:rPr>
                <w:b/>
                <w:bCs/>
              </w:rPr>
            </w:pPr>
            <w:r w:rsidRPr="00B027A1">
              <w:rPr>
                <w:b/>
                <w:bCs/>
              </w:rPr>
              <w:t>Offence</w:t>
            </w:r>
          </w:p>
        </w:tc>
        <w:tc>
          <w:tcPr>
            <w:tcW w:w="2070" w:type="dxa"/>
          </w:tcPr>
          <w:p w14:paraId="58C40393" w14:textId="77777777" w:rsidR="001D141E" w:rsidRPr="00B027A1" w:rsidRDefault="00E33CB1" w:rsidP="00F33E8F">
            <w:pPr>
              <w:jc w:val="center"/>
              <w:rPr>
                <w:b/>
                <w:bCs/>
              </w:rPr>
            </w:pPr>
            <w:r w:rsidRPr="00B027A1">
              <w:rPr>
                <w:b/>
                <w:bCs/>
              </w:rPr>
              <w:t xml:space="preserve">New </w:t>
            </w:r>
          </w:p>
          <w:p w14:paraId="1D08745A" w14:textId="4316B253" w:rsidR="00E33CB1" w:rsidRPr="00B027A1" w:rsidRDefault="00E33CB1" w:rsidP="00F33E8F">
            <w:pPr>
              <w:jc w:val="center"/>
              <w:rPr>
                <w:b/>
                <w:bCs/>
              </w:rPr>
            </w:pPr>
            <w:r w:rsidRPr="00B027A1">
              <w:rPr>
                <w:b/>
                <w:bCs/>
              </w:rPr>
              <w:t>Legislations</w:t>
            </w:r>
          </w:p>
        </w:tc>
        <w:tc>
          <w:tcPr>
            <w:tcW w:w="1170" w:type="dxa"/>
          </w:tcPr>
          <w:p w14:paraId="6864731D" w14:textId="702A8A21" w:rsidR="00E33CB1" w:rsidRPr="00B027A1" w:rsidRDefault="00E33CB1" w:rsidP="00F33E8F">
            <w:pPr>
              <w:jc w:val="center"/>
              <w:rPr>
                <w:b/>
                <w:bCs/>
              </w:rPr>
            </w:pPr>
            <w:r w:rsidRPr="00B027A1">
              <w:rPr>
                <w:b/>
                <w:bCs/>
              </w:rPr>
              <w:t>Clauses</w:t>
            </w:r>
          </w:p>
        </w:tc>
      </w:tr>
      <w:tr w:rsidR="0034196F" w:rsidRPr="00B027A1" w14:paraId="2B9F6A3A" w14:textId="77777777" w:rsidTr="00F33E8F">
        <w:trPr>
          <w:trHeight w:val="1587"/>
        </w:trPr>
        <w:tc>
          <w:tcPr>
            <w:tcW w:w="1447" w:type="dxa"/>
            <w:vMerge w:val="restart"/>
          </w:tcPr>
          <w:p w14:paraId="081D56F9" w14:textId="77777777" w:rsidR="0034196F" w:rsidRPr="00B027A1" w:rsidRDefault="0034196F" w:rsidP="00F33E8F">
            <w:pPr>
              <w:pStyle w:val="NormalWeb"/>
              <w:spacing w:before="0" w:beforeAutospacing="0" w:after="0" w:afterAutospacing="0"/>
              <w:jc w:val="center"/>
              <w:rPr>
                <w:b/>
                <w:bCs/>
              </w:rPr>
            </w:pPr>
          </w:p>
          <w:p w14:paraId="195A2AC0" w14:textId="77777777" w:rsidR="0034196F" w:rsidRPr="00B027A1" w:rsidRDefault="0034196F" w:rsidP="00F33E8F">
            <w:pPr>
              <w:pStyle w:val="NormalWeb"/>
              <w:spacing w:before="0" w:beforeAutospacing="0" w:after="0" w:afterAutospacing="0"/>
              <w:jc w:val="center"/>
              <w:rPr>
                <w:b/>
                <w:bCs/>
              </w:rPr>
            </w:pPr>
          </w:p>
          <w:p w14:paraId="71D4FBA0" w14:textId="77777777" w:rsidR="0034196F" w:rsidRPr="00B027A1" w:rsidRDefault="0034196F" w:rsidP="00F33E8F">
            <w:pPr>
              <w:pStyle w:val="NormalWeb"/>
              <w:spacing w:before="0" w:beforeAutospacing="0" w:after="0" w:afterAutospacing="0"/>
              <w:jc w:val="center"/>
              <w:rPr>
                <w:b/>
                <w:bCs/>
              </w:rPr>
            </w:pPr>
          </w:p>
          <w:p w14:paraId="7524E14F" w14:textId="77777777" w:rsidR="001D141E" w:rsidRPr="00B027A1" w:rsidRDefault="001D141E" w:rsidP="00F33E8F">
            <w:pPr>
              <w:pStyle w:val="NormalWeb"/>
              <w:spacing w:before="0" w:beforeAutospacing="0" w:after="0" w:afterAutospacing="0"/>
              <w:jc w:val="center"/>
              <w:rPr>
                <w:b/>
                <w:bCs/>
              </w:rPr>
            </w:pPr>
          </w:p>
          <w:p w14:paraId="54FBC668" w14:textId="20EB8FB0" w:rsidR="0034196F" w:rsidRPr="00B027A1" w:rsidRDefault="001D141E" w:rsidP="00F33E8F">
            <w:pPr>
              <w:pStyle w:val="NormalWeb"/>
              <w:spacing w:before="0" w:beforeAutospacing="0" w:after="0" w:afterAutospacing="0"/>
              <w:jc w:val="center"/>
              <w:rPr>
                <w:b/>
                <w:bCs/>
              </w:rPr>
            </w:pPr>
            <w:r w:rsidRPr="00B027A1">
              <w:rPr>
                <w:b/>
                <w:bCs/>
              </w:rPr>
              <w:t>THE INDIAN PENAL CODE, 1860</w:t>
            </w:r>
          </w:p>
          <w:p w14:paraId="1459FAC6" w14:textId="6BEAB0D8" w:rsidR="0034196F" w:rsidRPr="00B027A1" w:rsidRDefault="0034196F" w:rsidP="00F33E8F">
            <w:pPr>
              <w:pStyle w:val="NormalWeb"/>
              <w:spacing w:before="0" w:beforeAutospacing="0" w:after="0" w:afterAutospacing="0"/>
              <w:jc w:val="center"/>
              <w:rPr>
                <w:b/>
                <w:bCs/>
              </w:rPr>
            </w:pPr>
          </w:p>
        </w:tc>
        <w:tc>
          <w:tcPr>
            <w:tcW w:w="1433" w:type="dxa"/>
          </w:tcPr>
          <w:p w14:paraId="7EAA9EE2" w14:textId="77777777" w:rsidR="001D141E" w:rsidRPr="00B027A1" w:rsidRDefault="001D141E" w:rsidP="00F33E8F">
            <w:pPr>
              <w:pStyle w:val="NormalWeb"/>
              <w:spacing w:before="0" w:beforeAutospacing="0" w:after="0" w:afterAutospacing="0"/>
              <w:jc w:val="center"/>
              <w:rPr>
                <w:b/>
                <w:bCs/>
              </w:rPr>
            </w:pPr>
          </w:p>
          <w:p w14:paraId="6F2BF443" w14:textId="591E68E3" w:rsidR="0034196F" w:rsidRPr="00B027A1" w:rsidRDefault="0034196F" w:rsidP="00F33E8F">
            <w:pPr>
              <w:pStyle w:val="NormalWeb"/>
              <w:spacing w:before="0" w:beforeAutospacing="0" w:after="0" w:afterAutospacing="0"/>
              <w:jc w:val="center"/>
            </w:pPr>
            <w:r w:rsidRPr="00B027A1">
              <w:t>Dowry death.</w:t>
            </w:r>
          </w:p>
        </w:tc>
        <w:tc>
          <w:tcPr>
            <w:tcW w:w="1260" w:type="dxa"/>
          </w:tcPr>
          <w:p w14:paraId="3B8FC304" w14:textId="77777777" w:rsidR="001D141E" w:rsidRPr="00B027A1" w:rsidRDefault="001D141E" w:rsidP="00F33E8F">
            <w:pPr>
              <w:jc w:val="center"/>
              <w:rPr>
                <w:b/>
                <w:bCs/>
              </w:rPr>
            </w:pPr>
          </w:p>
          <w:p w14:paraId="0446A435" w14:textId="729E3CCF" w:rsidR="0034196F" w:rsidRPr="00B027A1" w:rsidRDefault="0034196F" w:rsidP="00F33E8F">
            <w:pPr>
              <w:jc w:val="center"/>
              <w:rPr>
                <w:b/>
                <w:bCs/>
              </w:rPr>
            </w:pPr>
            <w:r w:rsidRPr="00B027A1">
              <w:rPr>
                <w:b/>
                <w:bCs/>
              </w:rPr>
              <w:t>Section 304B</w:t>
            </w:r>
          </w:p>
        </w:tc>
        <w:tc>
          <w:tcPr>
            <w:tcW w:w="1620" w:type="dxa"/>
            <w:vMerge w:val="restart"/>
          </w:tcPr>
          <w:p w14:paraId="145E52A3" w14:textId="77777777" w:rsidR="0034196F" w:rsidRPr="00B027A1" w:rsidRDefault="0034196F" w:rsidP="00F33E8F">
            <w:pPr>
              <w:pStyle w:val="NormalWeb"/>
              <w:spacing w:before="0" w:beforeAutospacing="0" w:after="0" w:afterAutospacing="0"/>
              <w:jc w:val="center"/>
              <w:rPr>
                <w:b/>
                <w:bCs/>
              </w:rPr>
            </w:pPr>
          </w:p>
          <w:p w14:paraId="4810A494" w14:textId="77777777" w:rsidR="0034196F" w:rsidRPr="00B027A1" w:rsidRDefault="0034196F" w:rsidP="00F33E8F">
            <w:pPr>
              <w:pStyle w:val="NormalWeb"/>
              <w:spacing w:before="0" w:beforeAutospacing="0" w:after="0" w:afterAutospacing="0"/>
              <w:jc w:val="center"/>
              <w:rPr>
                <w:b/>
                <w:bCs/>
              </w:rPr>
            </w:pPr>
          </w:p>
          <w:p w14:paraId="12223E8A" w14:textId="77777777" w:rsidR="0034196F" w:rsidRPr="00B027A1" w:rsidRDefault="0034196F" w:rsidP="00F33E8F">
            <w:pPr>
              <w:pStyle w:val="NormalWeb"/>
              <w:spacing w:before="0" w:beforeAutospacing="0" w:after="0" w:afterAutospacing="0"/>
              <w:jc w:val="center"/>
              <w:rPr>
                <w:b/>
                <w:bCs/>
              </w:rPr>
            </w:pPr>
          </w:p>
          <w:p w14:paraId="31CC478D" w14:textId="77777777" w:rsidR="001D141E" w:rsidRPr="00B027A1" w:rsidRDefault="001D141E" w:rsidP="00F33E8F">
            <w:pPr>
              <w:pStyle w:val="NormalWeb"/>
              <w:spacing w:before="0" w:beforeAutospacing="0" w:after="0" w:afterAutospacing="0"/>
              <w:jc w:val="center"/>
              <w:rPr>
                <w:b/>
                <w:bCs/>
              </w:rPr>
            </w:pPr>
          </w:p>
          <w:p w14:paraId="57671690" w14:textId="2F2BF008" w:rsidR="0034196F" w:rsidRPr="00B027A1" w:rsidRDefault="001D141E" w:rsidP="00F33E8F">
            <w:pPr>
              <w:pStyle w:val="NormalWeb"/>
              <w:spacing w:before="0" w:beforeAutospacing="0" w:after="0" w:afterAutospacing="0"/>
              <w:jc w:val="center"/>
              <w:rPr>
                <w:b/>
                <w:bCs/>
              </w:rPr>
            </w:pPr>
            <w:r w:rsidRPr="00B027A1">
              <w:rPr>
                <w:b/>
                <w:bCs/>
              </w:rPr>
              <w:t>THE BHARATIYA NYAYA SANHITA, 2023</w:t>
            </w:r>
          </w:p>
          <w:p w14:paraId="344C11FD" w14:textId="4A16C500" w:rsidR="0034196F" w:rsidRPr="00B027A1" w:rsidRDefault="0034196F" w:rsidP="00F33E8F">
            <w:pPr>
              <w:pStyle w:val="NormalWeb"/>
              <w:spacing w:before="0" w:beforeAutospacing="0" w:after="0" w:afterAutospacing="0"/>
              <w:jc w:val="center"/>
              <w:rPr>
                <w:b/>
                <w:bCs/>
              </w:rPr>
            </w:pPr>
          </w:p>
        </w:tc>
        <w:tc>
          <w:tcPr>
            <w:tcW w:w="2070" w:type="dxa"/>
          </w:tcPr>
          <w:p w14:paraId="5165769C" w14:textId="77777777" w:rsidR="001D141E" w:rsidRPr="00B027A1" w:rsidRDefault="001D141E" w:rsidP="00F33E8F">
            <w:pPr>
              <w:pStyle w:val="NormalWeb"/>
              <w:spacing w:before="0" w:beforeAutospacing="0" w:after="0" w:afterAutospacing="0"/>
              <w:jc w:val="center"/>
              <w:rPr>
                <w:b/>
                <w:bCs/>
              </w:rPr>
            </w:pPr>
          </w:p>
          <w:p w14:paraId="15F3B842" w14:textId="15394700" w:rsidR="0034196F" w:rsidRPr="00B027A1" w:rsidRDefault="0034196F" w:rsidP="00F33E8F">
            <w:pPr>
              <w:pStyle w:val="NormalWeb"/>
              <w:spacing w:before="0" w:beforeAutospacing="0" w:after="0" w:afterAutospacing="0"/>
              <w:jc w:val="center"/>
            </w:pPr>
            <w:r w:rsidRPr="00B027A1">
              <w:t>Dowry death.</w:t>
            </w:r>
          </w:p>
          <w:p w14:paraId="3E63B82A" w14:textId="623BBD58" w:rsidR="0034196F" w:rsidRPr="00B027A1" w:rsidRDefault="0034196F" w:rsidP="00F33E8F">
            <w:pPr>
              <w:pStyle w:val="NormalWeb"/>
              <w:spacing w:before="0" w:beforeAutospacing="0" w:after="0" w:afterAutospacing="0"/>
              <w:jc w:val="center"/>
              <w:rPr>
                <w:b/>
                <w:bCs/>
              </w:rPr>
            </w:pPr>
          </w:p>
          <w:p w14:paraId="45470C59" w14:textId="77777777" w:rsidR="0034196F" w:rsidRPr="00B027A1" w:rsidRDefault="0034196F" w:rsidP="00F33E8F">
            <w:pPr>
              <w:pStyle w:val="NormalWeb"/>
              <w:spacing w:before="0" w:beforeAutospacing="0" w:after="0" w:afterAutospacing="0"/>
              <w:jc w:val="center"/>
              <w:rPr>
                <w:b/>
                <w:bCs/>
              </w:rPr>
            </w:pPr>
          </w:p>
          <w:p w14:paraId="25162E18" w14:textId="77777777" w:rsidR="0034196F" w:rsidRPr="00B027A1" w:rsidRDefault="0034196F" w:rsidP="00F33E8F">
            <w:pPr>
              <w:jc w:val="center"/>
              <w:rPr>
                <w:b/>
                <w:bCs/>
              </w:rPr>
            </w:pPr>
          </w:p>
        </w:tc>
        <w:tc>
          <w:tcPr>
            <w:tcW w:w="1170" w:type="dxa"/>
          </w:tcPr>
          <w:p w14:paraId="31097E25" w14:textId="77777777" w:rsidR="001D141E" w:rsidRPr="00B027A1" w:rsidRDefault="001D141E" w:rsidP="00F33E8F">
            <w:pPr>
              <w:jc w:val="center"/>
              <w:rPr>
                <w:b/>
                <w:bCs/>
              </w:rPr>
            </w:pPr>
          </w:p>
          <w:p w14:paraId="5EF301F8" w14:textId="3C840D92" w:rsidR="0034196F" w:rsidRPr="00B027A1" w:rsidRDefault="0034196F" w:rsidP="00F33E8F">
            <w:pPr>
              <w:jc w:val="center"/>
              <w:rPr>
                <w:b/>
                <w:bCs/>
              </w:rPr>
            </w:pPr>
            <w:r w:rsidRPr="00B027A1">
              <w:rPr>
                <w:b/>
                <w:bCs/>
              </w:rPr>
              <w:t>Clauses 79</w:t>
            </w:r>
          </w:p>
        </w:tc>
      </w:tr>
      <w:tr w:rsidR="0034196F" w:rsidRPr="00B027A1" w14:paraId="6E129EAA" w14:textId="77777777" w:rsidTr="00F33E8F">
        <w:tc>
          <w:tcPr>
            <w:tcW w:w="1447" w:type="dxa"/>
            <w:vMerge/>
          </w:tcPr>
          <w:p w14:paraId="348F94E6" w14:textId="77777777" w:rsidR="0034196F" w:rsidRPr="00B027A1" w:rsidRDefault="0034196F" w:rsidP="00F33E8F">
            <w:pPr>
              <w:pStyle w:val="NormalWeb"/>
              <w:spacing w:before="0" w:beforeAutospacing="0" w:after="0" w:afterAutospacing="0"/>
              <w:jc w:val="center"/>
              <w:rPr>
                <w:b/>
                <w:bCs/>
              </w:rPr>
            </w:pPr>
          </w:p>
        </w:tc>
        <w:tc>
          <w:tcPr>
            <w:tcW w:w="1433" w:type="dxa"/>
          </w:tcPr>
          <w:p w14:paraId="2777CDE9" w14:textId="7210519D" w:rsidR="0034196F" w:rsidRPr="00B027A1" w:rsidRDefault="0034196F" w:rsidP="00F33E8F">
            <w:pPr>
              <w:pStyle w:val="NormalWeb"/>
              <w:spacing w:before="0" w:beforeAutospacing="0" w:after="0" w:afterAutospacing="0"/>
            </w:pPr>
            <w:r w:rsidRPr="00B027A1">
              <w:t>Husband or relative of husband of a woman subjecting her to cruelty.</w:t>
            </w:r>
          </w:p>
          <w:p w14:paraId="1DBAF276" w14:textId="77777777" w:rsidR="0034196F" w:rsidRPr="00B027A1" w:rsidRDefault="0034196F" w:rsidP="00F33E8F">
            <w:pPr>
              <w:jc w:val="center"/>
              <w:rPr>
                <w:b/>
                <w:bCs/>
              </w:rPr>
            </w:pPr>
          </w:p>
        </w:tc>
        <w:tc>
          <w:tcPr>
            <w:tcW w:w="1260" w:type="dxa"/>
          </w:tcPr>
          <w:p w14:paraId="27F465F8" w14:textId="44001406" w:rsidR="0034196F" w:rsidRPr="00B027A1" w:rsidRDefault="0034196F" w:rsidP="00F33E8F">
            <w:pPr>
              <w:jc w:val="center"/>
              <w:rPr>
                <w:b/>
                <w:bCs/>
              </w:rPr>
            </w:pPr>
            <w:r w:rsidRPr="00B027A1">
              <w:rPr>
                <w:b/>
                <w:bCs/>
              </w:rPr>
              <w:t>Section 498 A</w:t>
            </w:r>
          </w:p>
        </w:tc>
        <w:tc>
          <w:tcPr>
            <w:tcW w:w="1620" w:type="dxa"/>
            <w:vMerge/>
          </w:tcPr>
          <w:p w14:paraId="6D42E260" w14:textId="77777777" w:rsidR="0034196F" w:rsidRPr="00B027A1" w:rsidRDefault="0034196F" w:rsidP="00F33E8F">
            <w:pPr>
              <w:pStyle w:val="NormalWeb"/>
              <w:spacing w:before="0" w:beforeAutospacing="0" w:after="0" w:afterAutospacing="0"/>
              <w:jc w:val="center"/>
              <w:rPr>
                <w:b/>
                <w:bCs/>
              </w:rPr>
            </w:pPr>
          </w:p>
        </w:tc>
        <w:tc>
          <w:tcPr>
            <w:tcW w:w="2070" w:type="dxa"/>
          </w:tcPr>
          <w:p w14:paraId="105D2162" w14:textId="2D64D873" w:rsidR="0034196F" w:rsidRPr="00B027A1" w:rsidRDefault="0034196F" w:rsidP="00F33E8F">
            <w:pPr>
              <w:pStyle w:val="NormalWeb"/>
              <w:spacing w:before="0" w:beforeAutospacing="0" w:after="0" w:afterAutospacing="0"/>
              <w:jc w:val="both"/>
              <w:rPr>
                <w:b/>
                <w:bCs/>
              </w:rPr>
            </w:pPr>
            <w:r w:rsidRPr="00B027A1">
              <w:t>Husband or relative of husband of a woman subjecting her to cruelty</w:t>
            </w:r>
            <w:r w:rsidRPr="00B027A1">
              <w:rPr>
                <w:b/>
                <w:bCs/>
              </w:rPr>
              <w:t>.</w:t>
            </w:r>
          </w:p>
          <w:p w14:paraId="65F8B169" w14:textId="47DF762B" w:rsidR="0034196F" w:rsidRPr="00B027A1" w:rsidRDefault="0034196F" w:rsidP="00F33E8F">
            <w:pPr>
              <w:pStyle w:val="NormalWeb"/>
              <w:spacing w:before="0" w:beforeAutospacing="0" w:after="0" w:afterAutospacing="0"/>
              <w:jc w:val="center"/>
              <w:rPr>
                <w:b/>
                <w:bCs/>
              </w:rPr>
            </w:pPr>
          </w:p>
        </w:tc>
        <w:tc>
          <w:tcPr>
            <w:tcW w:w="1170" w:type="dxa"/>
          </w:tcPr>
          <w:p w14:paraId="10BAEC94" w14:textId="70C3A7E8" w:rsidR="0034196F" w:rsidRPr="00B027A1" w:rsidRDefault="0034196F" w:rsidP="00F33E8F">
            <w:pPr>
              <w:jc w:val="center"/>
              <w:rPr>
                <w:b/>
                <w:bCs/>
              </w:rPr>
            </w:pPr>
            <w:r w:rsidRPr="00B027A1">
              <w:rPr>
                <w:b/>
                <w:bCs/>
              </w:rPr>
              <w:t>Clause 84</w:t>
            </w:r>
          </w:p>
        </w:tc>
      </w:tr>
      <w:tr w:rsidR="00547323" w:rsidRPr="00B027A1" w14:paraId="7A229E5D" w14:textId="77777777" w:rsidTr="00F33E8F">
        <w:tc>
          <w:tcPr>
            <w:tcW w:w="1447" w:type="dxa"/>
          </w:tcPr>
          <w:p w14:paraId="6BDB9041" w14:textId="10D07558" w:rsidR="00547323" w:rsidRPr="00B027A1" w:rsidRDefault="00547323" w:rsidP="00F33E8F">
            <w:pPr>
              <w:pStyle w:val="NormalWeb"/>
              <w:spacing w:before="0" w:beforeAutospacing="0" w:after="0" w:afterAutospacing="0"/>
              <w:jc w:val="center"/>
              <w:rPr>
                <w:b/>
                <w:bCs/>
              </w:rPr>
            </w:pPr>
            <w:r w:rsidRPr="00B027A1">
              <w:rPr>
                <w:b/>
                <w:bCs/>
              </w:rPr>
              <w:t xml:space="preserve">THE </w:t>
            </w:r>
            <w:r w:rsidRPr="00B027A1">
              <w:rPr>
                <w:b/>
                <w:bCs/>
              </w:rPr>
              <w:lastRenderedPageBreak/>
              <w:t>INDIAN EVIDENCE ACT, 1872</w:t>
            </w:r>
          </w:p>
          <w:p w14:paraId="12E56C1B" w14:textId="1B4EB790" w:rsidR="00E33CB1" w:rsidRPr="00B027A1" w:rsidRDefault="00E33CB1" w:rsidP="00F33E8F">
            <w:pPr>
              <w:pStyle w:val="NormalWeb"/>
              <w:spacing w:before="0" w:beforeAutospacing="0" w:after="0" w:afterAutospacing="0"/>
              <w:jc w:val="center"/>
              <w:rPr>
                <w:b/>
                <w:bCs/>
              </w:rPr>
            </w:pPr>
          </w:p>
        </w:tc>
        <w:tc>
          <w:tcPr>
            <w:tcW w:w="1433" w:type="dxa"/>
          </w:tcPr>
          <w:p w14:paraId="15CA86FD" w14:textId="77777777" w:rsidR="00E33CB1" w:rsidRPr="00B027A1" w:rsidRDefault="00E33CB1" w:rsidP="00F33E8F">
            <w:pPr>
              <w:pStyle w:val="NormalWeb"/>
              <w:spacing w:before="0" w:beforeAutospacing="0" w:after="0" w:afterAutospacing="0"/>
              <w:jc w:val="center"/>
            </w:pPr>
            <w:r w:rsidRPr="00B027A1">
              <w:lastRenderedPageBreak/>
              <w:t xml:space="preserve">Presumption </w:t>
            </w:r>
            <w:r w:rsidRPr="00B027A1">
              <w:lastRenderedPageBreak/>
              <w:t>as to dowry death.</w:t>
            </w:r>
          </w:p>
          <w:p w14:paraId="46ABBEFD" w14:textId="77777777" w:rsidR="00E33CB1" w:rsidRPr="00B027A1" w:rsidRDefault="00E33CB1" w:rsidP="00F33E8F">
            <w:pPr>
              <w:pStyle w:val="NormalWeb"/>
              <w:spacing w:before="0" w:beforeAutospacing="0" w:after="0" w:afterAutospacing="0"/>
              <w:jc w:val="center"/>
              <w:rPr>
                <w:b/>
                <w:bCs/>
              </w:rPr>
            </w:pPr>
          </w:p>
          <w:p w14:paraId="0671137D" w14:textId="77777777" w:rsidR="00E33CB1" w:rsidRPr="00B027A1" w:rsidRDefault="00E33CB1" w:rsidP="00F33E8F">
            <w:pPr>
              <w:pStyle w:val="NormalWeb"/>
              <w:spacing w:before="0" w:beforeAutospacing="0" w:after="0" w:afterAutospacing="0"/>
              <w:jc w:val="center"/>
              <w:rPr>
                <w:b/>
                <w:bCs/>
              </w:rPr>
            </w:pPr>
          </w:p>
        </w:tc>
        <w:tc>
          <w:tcPr>
            <w:tcW w:w="1260" w:type="dxa"/>
          </w:tcPr>
          <w:p w14:paraId="3B05676B" w14:textId="283261F9" w:rsidR="00E33CB1" w:rsidRPr="00B027A1" w:rsidRDefault="00E33CB1" w:rsidP="00F33E8F">
            <w:pPr>
              <w:jc w:val="center"/>
              <w:rPr>
                <w:b/>
                <w:bCs/>
              </w:rPr>
            </w:pPr>
            <w:r w:rsidRPr="00B027A1">
              <w:rPr>
                <w:b/>
                <w:bCs/>
              </w:rPr>
              <w:lastRenderedPageBreak/>
              <w:t>Section</w:t>
            </w:r>
            <w:r w:rsidR="00547323" w:rsidRPr="00B027A1">
              <w:rPr>
                <w:b/>
                <w:bCs/>
              </w:rPr>
              <w:t xml:space="preserve"> </w:t>
            </w:r>
            <w:r w:rsidRPr="00B027A1">
              <w:rPr>
                <w:b/>
                <w:bCs/>
              </w:rPr>
              <w:lastRenderedPageBreak/>
              <w:t>113 B</w:t>
            </w:r>
          </w:p>
        </w:tc>
        <w:tc>
          <w:tcPr>
            <w:tcW w:w="1620" w:type="dxa"/>
          </w:tcPr>
          <w:p w14:paraId="3E81BEA2" w14:textId="0DCE7215" w:rsidR="00E33CB1" w:rsidRPr="00B027A1" w:rsidRDefault="00E33CB1" w:rsidP="00F33E8F">
            <w:pPr>
              <w:pStyle w:val="NormalWeb"/>
              <w:spacing w:before="0" w:beforeAutospacing="0" w:after="0" w:afterAutospacing="0"/>
              <w:jc w:val="center"/>
              <w:rPr>
                <w:b/>
                <w:bCs/>
              </w:rPr>
            </w:pPr>
            <w:r w:rsidRPr="00B027A1">
              <w:rPr>
                <w:b/>
                <w:bCs/>
              </w:rPr>
              <w:lastRenderedPageBreak/>
              <w:t>THE</w:t>
            </w:r>
            <w:r w:rsidR="00547323" w:rsidRPr="00B027A1">
              <w:rPr>
                <w:b/>
                <w:bCs/>
              </w:rPr>
              <w:t xml:space="preserve"> </w:t>
            </w:r>
            <w:r w:rsidRPr="00B027A1">
              <w:rPr>
                <w:b/>
                <w:bCs/>
              </w:rPr>
              <w:lastRenderedPageBreak/>
              <w:t>BHARATIYASAKSHYA</w:t>
            </w:r>
            <w:r w:rsidR="001D141E" w:rsidRPr="00B027A1">
              <w:rPr>
                <w:b/>
                <w:bCs/>
              </w:rPr>
              <w:t xml:space="preserve"> ADHINIYAM,</w:t>
            </w:r>
            <w:r w:rsidRPr="00B027A1">
              <w:rPr>
                <w:b/>
                <w:bCs/>
              </w:rPr>
              <w:t>2023</w:t>
            </w:r>
          </w:p>
          <w:p w14:paraId="595D58E0" w14:textId="77777777" w:rsidR="00E33CB1" w:rsidRPr="00B027A1" w:rsidRDefault="00E33CB1" w:rsidP="00F33E8F">
            <w:pPr>
              <w:pStyle w:val="NormalWeb"/>
              <w:spacing w:before="0" w:beforeAutospacing="0" w:after="0" w:afterAutospacing="0"/>
              <w:jc w:val="center"/>
              <w:rPr>
                <w:b/>
                <w:bCs/>
              </w:rPr>
            </w:pPr>
          </w:p>
        </w:tc>
        <w:tc>
          <w:tcPr>
            <w:tcW w:w="2070" w:type="dxa"/>
          </w:tcPr>
          <w:p w14:paraId="2B68D808" w14:textId="0D87EDFE" w:rsidR="00E33CB1" w:rsidRPr="00B027A1" w:rsidRDefault="00E33CB1" w:rsidP="00F33E8F">
            <w:pPr>
              <w:pStyle w:val="NormalWeb"/>
              <w:spacing w:before="0" w:beforeAutospacing="0" w:after="0" w:afterAutospacing="0"/>
              <w:jc w:val="center"/>
            </w:pPr>
            <w:r w:rsidRPr="00B027A1">
              <w:lastRenderedPageBreak/>
              <w:t xml:space="preserve">Presumption as to </w:t>
            </w:r>
            <w:r w:rsidRPr="00B027A1">
              <w:lastRenderedPageBreak/>
              <w:t>dowry death.</w:t>
            </w:r>
          </w:p>
          <w:p w14:paraId="6D275D84" w14:textId="77777777" w:rsidR="00E33CB1" w:rsidRPr="00B027A1" w:rsidRDefault="00E33CB1" w:rsidP="00F33E8F">
            <w:pPr>
              <w:pStyle w:val="NormalWeb"/>
              <w:spacing w:before="0" w:beforeAutospacing="0" w:after="0" w:afterAutospacing="0"/>
              <w:jc w:val="center"/>
              <w:rPr>
                <w:b/>
                <w:bCs/>
              </w:rPr>
            </w:pPr>
          </w:p>
        </w:tc>
        <w:tc>
          <w:tcPr>
            <w:tcW w:w="1170" w:type="dxa"/>
          </w:tcPr>
          <w:p w14:paraId="1A3B907C" w14:textId="7AB9898A" w:rsidR="00E33CB1" w:rsidRPr="00B027A1" w:rsidRDefault="00E33CB1" w:rsidP="00F33E8F">
            <w:pPr>
              <w:jc w:val="center"/>
              <w:rPr>
                <w:b/>
                <w:bCs/>
              </w:rPr>
            </w:pPr>
            <w:r w:rsidRPr="00B027A1">
              <w:rPr>
                <w:b/>
                <w:bCs/>
              </w:rPr>
              <w:lastRenderedPageBreak/>
              <w:t xml:space="preserve">Clause </w:t>
            </w:r>
            <w:r w:rsidRPr="00B027A1">
              <w:rPr>
                <w:b/>
                <w:bCs/>
              </w:rPr>
              <w:lastRenderedPageBreak/>
              <w:t>118</w:t>
            </w:r>
          </w:p>
        </w:tc>
      </w:tr>
    </w:tbl>
    <w:p w14:paraId="20E9F791" w14:textId="1D5086EA" w:rsidR="00F82AFE" w:rsidRPr="00F33E8F" w:rsidRDefault="00C87F3E" w:rsidP="00F33E8F">
      <w:pPr>
        <w:spacing w:before="120" w:after="120"/>
        <w:jc w:val="center"/>
        <w:rPr>
          <w:b/>
          <w:iCs/>
          <w:color w:val="000000" w:themeColor="text1"/>
        </w:rPr>
      </w:pPr>
      <w:r w:rsidRPr="00F33E8F">
        <w:rPr>
          <w:b/>
          <w:iCs/>
          <w:color w:val="000000" w:themeColor="text1"/>
        </w:rPr>
        <w:lastRenderedPageBreak/>
        <w:t>Self- Created Table</w:t>
      </w:r>
    </w:p>
    <w:p w14:paraId="1DCE4A57" w14:textId="3DA28443" w:rsidR="00D63F3C" w:rsidRPr="00B027A1" w:rsidRDefault="00F33E8F" w:rsidP="00B027A1">
      <w:pPr>
        <w:pStyle w:val="NormalWeb"/>
        <w:spacing w:before="0" w:beforeAutospacing="0" w:after="120" w:afterAutospacing="0"/>
        <w:jc w:val="both"/>
        <w:rPr>
          <w:color w:val="000000"/>
        </w:rPr>
      </w:pPr>
      <w:r w:rsidRPr="00B027A1">
        <w:rPr>
          <w:rStyle w:val="Strong"/>
          <w:rFonts w:eastAsiaTheme="majorEastAsia"/>
          <w:color w:val="000000"/>
        </w:rPr>
        <w:t>DIFFERENCES IN DOWRY LAWS BETWEEN EXISTING AND PROPOSED LEGISLATION</w:t>
      </w:r>
    </w:p>
    <w:p w14:paraId="010A6D3F" w14:textId="1362D028" w:rsidR="00D63F3C" w:rsidRPr="00B027A1" w:rsidRDefault="00D63F3C" w:rsidP="00B027A1">
      <w:pPr>
        <w:pStyle w:val="NormalWeb"/>
        <w:spacing w:before="0" w:beforeAutospacing="0" w:after="120" w:afterAutospacing="0"/>
        <w:jc w:val="both"/>
        <w:rPr>
          <w:color w:val="000000"/>
        </w:rPr>
      </w:pPr>
      <w:r w:rsidRPr="00B027A1">
        <w:rPr>
          <w:color w:val="000000"/>
        </w:rPr>
        <w:t xml:space="preserve">The comparison between existing dowry laws and proposed legislation in the new criminal laws, namely the </w:t>
      </w:r>
      <w:proofErr w:type="spellStart"/>
      <w:r w:rsidRPr="00B027A1">
        <w:rPr>
          <w:color w:val="000000"/>
        </w:rPr>
        <w:t>Bharatiya</w:t>
      </w:r>
      <w:proofErr w:type="spellEnd"/>
      <w:r w:rsidRPr="00B027A1">
        <w:rPr>
          <w:color w:val="000000"/>
        </w:rPr>
        <w:t xml:space="preserve"> </w:t>
      </w:r>
      <w:proofErr w:type="spellStart"/>
      <w:r w:rsidRPr="00B027A1">
        <w:rPr>
          <w:color w:val="000000"/>
        </w:rPr>
        <w:t>Nyaya</w:t>
      </w:r>
      <w:proofErr w:type="spellEnd"/>
      <w:r w:rsidRPr="00B027A1">
        <w:rPr>
          <w:color w:val="000000"/>
        </w:rPr>
        <w:t xml:space="preserve"> </w:t>
      </w:r>
      <w:proofErr w:type="spellStart"/>
      <w:r w:rsidRPr="00B027A1">
        <w:rPr>
          <w:color w:val="000000"/>
        </w:rPr>
        <w:t>Sanhita</w:t>
      </w:r>
      <w:proofErr w:type="spellEnd"/>
      <w:r w:rsidRPr="00B027A1">
        <w:rPr>
          <w:color w:val="000000"/>
        </w:rPr>
        <w:t xml:space="preserve"> (BNS), </w:t>
      </w:r>
      <w:proofErr w:type="spellStart"/>
      <w:r w:rsidRPr="00B027A1">
        <w:rPr>
          <w:color w:val="000000"/>
        </w:rPr>
        <w:t>Bharatiya</w:t>
      </w:r>
      <w:proofErr w:type="spellEnd"/>
      <w:r w:rsidRPr="00B027A1">
        <w:rPr>
          <w:color w:val="000000"/>
        </w:rPr>
        <w:t xml:space="preserve"> </w:t>
      </w:r>
      <w:proofErr w:type="spellStart"/>
      <w:r w:rsidRPr="00B027A1">
        <w:rPr>
          <w:color w:val="000000"/>
        </w:rPr>
        <w:t>Sakshya</w:t>
      </w:r>
      <w:proofErr w:type="spellEnd"/>
      <w:r w:rsidRPr="00B027A1">
        <w:rPr>
          <w:color w:val="000000"/>
        </w:rPr>
        <w:t xml:space="preserve"> </w:t>
      </w:r>
      <w:proofErr w:type="spellStart"/>
      <w:r w:rsidRPr="00B027A1">
        <w:rPr>
          <w:color w:val="000000"/>
        </w:rPr>
        <w:t>Adhiniyam</w:t>
      </w:r>
      <w:proofErr w:type="spellEnd"/>
      <w:r w:rsidRPr="00B027A1">
        <w:rPr>
          <w:color w:val="000000"/>
        </w:rPr>
        <w:t xml:space="preserve"> (BSA), and </w:t>
      </w:r>
      <w:proofErr w:type="spellStart"/>
      <w:r w:rsidRPr="00B027A1">
        <w:rPr>
          <w:color w:val="000000"/>
        </w:rPr>
        <w:t>Bharatiya</w:t>
      </w:r>
      <w:proofErr w:type="spellEnd"/>
      <w:r w:rsidRPr="00B027A1">
        <w:rPr>
          <w:color w:val="000000"/>
        </w:rPr>
        <w:t xml:space="preserve"> </w:t>
      </w:r>
      <w:proofErr w:type="spellStart"/>
      <w:r w:rsidRPr="00B027A1">
        <w:rPr>
          <w:color w:val="000000"/>
        </w:rPr>
        <w:t>Nagarik</w:t>
      </w:r>
      <w:proofErr w:type="spellEnd"/>
      <w:r w:rsidRPr="00B027A1">
        <w:rPr>
          <w:color w:val="000000"/>
        </w:rPr>
        <w:t xml:space="preserve"> </w:t>
      </w:r>
      <w:proofErr w:type="spellStart"/>
      <w:r w:rsidRPr="00B027A1">
        <w:rPr>
          <w:color w:val="000000"/>
        </w:rPr>
        <w:t>Suraksha</w:t>
      </w:r>
      <w:proofErr w:type="spellEnd"/>
      <w:r w:rsidRPr="00B027A1">
        <w:rPr>
          <w:color w:val="000000"/>
        </w:rPr>
        <w:t xml:space="preserve"> </w:t>
      </w:r>
      <w:proofErr w:type="spellStart"/>
      <w:r w:rsidRPr="00B027A1">
        <w:rPr>
          <w:color w:val="000000"/>
        </w:rPr>
        <w:t>Sanhita</w:t>
      </w:r>
      <w:proofErr w:type="spellEnd"/>
      <w:r w:rsidRPr="00B027A1">
        <w:rPr>
          <w:color w:val="000000"/>
        </w:rPr>
        <w:t xml:space="preserve"> (BNSS), reveals several significant distinctions.</w:t>
      </w:r>
    </w:p>
    <w:p w14:paraId="080DCA41" w14:textId="77777777" w:rsidR="00D63F3C" w:rsidRPr="00B027A1" w:rsidRDefault="00D63F3C" w:rsidP="00B027A1">
      <w:pPr>
        <w:pStyle w:val="NormalWeb"/>
        <w:spacing w:before="0" w:beforeAutospacing="0" w:after="120" w:afterAutospacing="0"/>
        <w:jc w:val="both"/>
        <w:rPr>
          <w:color w:val="000000"/>
        </w:rPr>
      </w:pPr>
      <w:r w:rsidRPr="00B027A1">
        <w:rPr>
          <w:color w:val="000000"/>
        </w:rPr>
        <w:t xml:space="preserve">Firstly, in terms of the provision concerning dowry death, both the old legislation (Section 304B of the Indian Penal Code, 1860) and the new legislation (Clause 79 of the </w:t>
      </w:r>
      <w:proofErr w:type="spellStart"/>
      <w:r w:rsidRPr="00B027A1">
        <w:rPr>
          <w:color w:val="000000"/>
        </w:rPr>
        <w:t>Bharatiya</w:t>
      </w:r>
      <w:proofErr w:type="spellEnd"/>
      <w:r w:rsidRPr="00B027A1">
        <w:rPr>
          <w:color w:val="000000"/>
        </w:rPr>
        <w:t xml:space="preserve"> </w:t>
      </w:r>
      <w:proofErr w:type="spellStart"/>
      <w:r w:rsidRPr="00B027A1">
        <w:rPr>
          <w:color w:val="000000"/>
        </w:rPr>
        <w:t>Nyaya</w:t>
      </w:r>
      <w:proofErr w:type="spellEnd"/>
      <w:r w:rsidRPr="00B027A1">
        <w:rPr>
          <w:color w:val="000000"/>
        </w:rPr>
        <w:t xml:space="preserve"> </w:t>
      </w:r>
      <w:proofErr w:type="spellStart"/>
      <w:r w:rsidRPr="00B027A1">
        <w:rPr>
          <w:color w:val="000000"/>
        </w:rPr>
        <w:t>Sanhita</w:t>
      </w:r>
      <w:proofErr w:type="spellEnd"/>
      <w:r w:rsidRPr="00B027A1">
        <w:rPr>
          <w:color w:val="000000"/>
        </w:rPr>
        <w:t>, 2023) essentially maintain the same language and penalties. Both define dowry death and prescribe imprisonment for offenders.</w:t>
      </w:r>
    </w:p>
    <w:p w14:paraId="1414D438" w14:textId="77777777" w:rsidR="00D63F3C" w:rsidRPr="00B027A1" w:rsidRDefault="00D63F3C" w:rsidP="00B027A1">
      <w:pPr>
        <w:pStyle w:val="NormalWeb"/>
        <w:spacing w:before="0" w:beforeAutospacing="0" w:after="120" w:afterAutospacing="0"/>
        <w:jc w:val="both"/>
        <w:rPr>
          <w:color w:val="000000"/>
        </w:rPr>
      </w:pPr>
      <w:r w:rsidRPr="00B027A1">
        <w:rPr>
          <w:color w:val="000000"/>
        </w:rPr>
        <w:t xml:space="preserve">Secondly, regarding cruelty by the husband or relatives of the husband, while the old legislation (Section 498A of the Indian Penal Code, 1860) and the proposed legislation (Clause 84 of the </w:t>
      </w:r>
      <w:proofErr w:type="spellStart"/>
      <w:r w:rsidRPr="00B027A1">
        <w:rPr>
          <w:color w:val="000000"/>
        </w:rPr>
        <w:t>Bharatiya</w:t>
      </w:r>
      <w:proofErr w:type="spellEnd"/>
      <w:r w:rsidRPr="00B027A1">
        <w:rPr>
          <w:color w:val="000000"/>
        </w:rPr>
        <w:t xml:space="preserve"> </w:t>
      </w:r>
      <w:proofErr w:type="spellStart"/>
      <w:r w:rsidRPr="00B027A1">
        <w:rPr>
          <w:color w:val="000000"/>
        </w:rPr>
        <w:t>Nyaya</w:t>
      </w:r>
      <w:proofErr w:type="spellEnd"/>
      <w:r w:rsidRPr="00B027A1">
        <w:rPr>
          <w:color w:val="000000"/>
        </w:rPr>
        <w:t xml:space="preserve"> </w:t>
      </w:r>
      <w:proofErr w:type="spellStart"/>
      <w:r w:rsidRPr="00B027A1">
        <w:rPr>
          <w:color w:val="000000"/>
        </w:rPr>
        <w:t>Sanhita</w:t>
      </w:r>
      <w:proofErr w:type="spellEnd"/>
      <w:r w:rsidRPr="00B027A1">
        <w:rPr>
          <w:color w:val="000000"/>
        </w:rPr>
        <w:t>, 2023) share similar provisions, they are distinct in their numbering and alignment within the respective legal frameworks. However, both emphasize the criminalization of cruelty towards women by their husbands or relatives.</w:t>
      </w:r>
    </w:p>
    <w:p w14:paraId="7E1E1496" w14:textId="77777777" w:rsidR="00D63F3C" w:rsidRPr="00B027A1" w:rsidRDefault="00D63F3C" w:rsidP="00B027A1">
      <w:pPr>
        <w:pStyle w:val="NormalWeb"/>
        <w:spacing w:before="0" w:beforeAutospacing="0" w:after="120" w:afterAutospacing="0"/>
        <w:jc w:val="both"/>
        <w:rPr>
          <w:color w:val="000000"/>
        </w:rPr>
      </w:pPr>
      <w:r w:rsidRPr="00B027A1">
        <w:rPr>
          <w:color w:val="000000"/>
        </w:rPr>
        <w:t xml:space="preserve">Lastly, in terms of presumption as to dowry death, both the old legislation (Section 113B of the Indian Evidence Act, 1872) and the proposed legislation (Clause 118 of the </w:t>
      </w:r>
      <w:proofErr w:type="spellStart"/>
      <w:r w:rsidRPr="00B027A1">
        <w:rPr>
          <w:color w:val="000000"/>
        </w:rPr>
        <w:t>Bharatiya</w:t>
      </w:r>
      <w:proofErr w:type="spellEnd"/>
      <w:r w:rsidRPr="00B027A1">
        <w:rPr>
          <w:color w:val="000000"/>
        </w:rPr>
        <w:t xml:space="preserve"> </w:t>
      </w:r>
      <w:proofErr w:type="spellStart"/>
      <w:r w:rsidRPr="00B027A1">
        <w:rPr>
          <w:color w:val="000000"/>
        </w:rPr>
        <w:t>Sakshya</w:t>
      </w:r>
      <w:proofErr w:type="spellEnd"/>
      <w:r w:rsidRPr="00B027A1">
        <w:rPr>
          <w:color w:val="000000"/>
        </w:rPr>
        <w:t xml:space="preserve"> Bill, 2023) establish the same presumption regarding dowry death based on evidence of cruelty or harassment for dowry demands.</w:t>
      </w:r>
    </w:p>
    <w:p w14:paraId="629F98E7" w14:textId="77777777" w:rsidR="00502051" w:rsidRPr="00B027A1" w:rsidRDefault="00502051" w:rsidP="00B027A1">
      <w:pPr>
        <w:pStyle w:val="NormalWeb"/>
        <w:spacing w:before="0" w:beforeAutospacing="0" w:after="120" w:afterAutospacing="0"/>
        <w:jc w:val="both"/>
        <w:rPr>
          <w:rStyle w:val="Strong"/>
          <w:rFonts w:eastAsiaTheme="majorEastAsia"/>
          <w:color w:val="000000"/>
        </w:rPr>
      </w:pPr>
    </w:p>
    <w:p w14:paraId="3580CA25" w14:textId="77777777" w:rsidR="00502051" w:rsidRPr="00B027A1" w:rsidRDefault="00502051" w:rsidP="00B027A1">
      <w:pPr>
        <w:pStyle w:val="NormalWeb"/>
        <w:spacing w:before="0" w:beforeAutospacing="0" w:after="120" w:afterAutospacing="0"/>
        <w:jc w:val="both"/>
        <w:rPr>
          <w:rStyle w:val="Strong"/>
          <w:rFonts w:eastAsiaTheme="majorEastAsia"/>
          <w:color w:val="000000"/>
        </w:rPr>
      </w:pPr>
    </w:p>
    <w:p w14:paraId="6308B570" w14:textId="33D7338F" w:rsidR="00D63F3C" w:rsidRPr="00B027A1" w:rsidRDefault="00F33E8F" w:rsidP="00B027A1">
      <w:pPr>
        <w:pStyle w:val="NormalWeb"/>
        <w:spacing w:before="0" w:beforeAutospacing="0" w:after="120" w:afterAutospacing="0"/>
        <w:jc w:val="both"/>
        <w:rPr>
          <w:color w:val="000000"/>
        </w:rPr>
      </w:pPr>
      <w:r w:rsidRPr="00B027A1">
        <w:rPr>
          <w:rStyle w:val="Strong"/>
          <w:rFonts w:eastAsiaTheme="majorEastAsia"/>
          <w:color w:val="000000"/>
        </w:rPr>
        <w:t>CONCLUSION</w:t>
      </w:r>
    </w:p>
    <w:p w14:paraId="60258458" w14:textId="77777777" w:rsidR="00D63F3C" w:rsidRPr="00B027A1" w:rsidRDefault="00D63F3C" w:rsidP="00B027A1">
      <w:pPr>
        <w:pStyle w:val="NormalWeb"/>
        <w:spacing w:before="0" w:beforeAutospacing="0" w:after="120" w:afterAutospacing="0"/>
        <w:jc w:val="both"/>
        <w:rPr>
          <w:color w:val="000000"/>
        </w:rPr>
      </w:pPr>
      <w:r w:rsidRPr="00B027A1">
        <w:rPr>
          <w:color w:val="000000"/>
        </w:rPr>
        <w:t xml:space="preserve">While the comparison highlights certain structural differences between existing dowry laws and proposed legislation, it also underscores the consistency in the core principles aimed at addressing dowry-related offenses. Despite changes in legal frameworks and terminology, the fundamental objectives of deterrence, punishment, and protection of victims remain intact. These comparisons provide insights into the evolution of legal approaches to combat dowry-related crimes and emphasize the </w:t>
      </w:r>
      <w:proofErr w:type="spellStart"/>
      <w:r w:rsidRPr="00B027A1">
        <w:rPr>
          <w:color w:val="000000"/>
        </w:rPr>
        <w:t>ongoing</w:t>
      </w:r>
      <w:proofErr w:type="spellEnd"/>
      <w:r w:rsidRPr="00B027A1">
        <w:rPr>
          <w:color w:val="000000"/>
        </w:rPr>
        <w:t xml:space="preserve"> efforts to strengthen legal protections for women in India.</w:t>
      </w:r>
    </w:p>
    <w:p w14:paraId="2F65168D" w14:textId="77777777" w:rsidR="00D63F3C" w:rsidRPr="00B027A1" w:rsidRDefault="00D63F3C" w:rsidP="00B027A1">
      <w:pPr>
        <w:spacing w:after="120"/>
        <w:jc w:val="center"/>
        <w:rPr>
          <w:rStyle w:val="Strong"/>
          <w:rFonts w:eastAsiaTheme="majorEastAsia"/>
          <w:color w:val="000000"/>
        </w:rPr>
      </w:pPr>
    </w:p>
    <w:p w14:paraId="770A5D69" w14:textId="77777777" w:rsidR="00E868B1" w:rsidRPr="00B027A1" w:rsidRDefault="00E868B1" w:rsidP="00B027A1">
      <w:pPr>
        <w:spacing w:after="120"/>
      </w:pPr>
    </w:p>
    <w:p w14:paraId="398655C5" w14:textId="77777777" w:rsidR="00E868B1" w:rsidRPr="00B027A1" w:rsidRDefault="00E868B1" w:rsidP="00B027A1">
      <w:pPr>
        <w:spacing w:after="120"/>
      </w:pPr>
    </w:p>
    <w:p w14:paraId="07923369" w14:textId="77777777" w:rsidR="00E868B1" w:rsidRPr="00B027A1" w:rsidRDefault="00E868B1" w:rsidP="00B027A1">
      <w:pPr>
        <w:spacing w:after="120"/>
      </w:pPr>
    </w:p>
    <w:p w14:paraId="1D582CEF" w14:textId="77777777" w:rsidR="00E868B1" w:rsidRPr="00B027A1" w:rsidRDefault="00E868B1" w:rsidP="00B027A1">
      <w:pPr>
        <w:spacing w:after="120"/>
      </w:pPr>
    </w:p>
    <w:p w14:paraId="27BBC7FD" w14:textId="77777777" w:rsidR="00E868B1" w:rsidRPr="00B027A1" w:rsidRDefault="00E868B1" w:rsidP="00B027A1">
      <w:pPr>
        <w:spacing w:after="120"/>
        <w:rPr>
          <w:rStyle w:val="Strong"/>
          <w:rFonts w:eastAsiaTheme="majorEastAsia"/>
          <w:color w:val="000000"/>
        </w:rPr>
      </w:pPr>
    </w:p>
    <w:p w14:paraId="50F283ED" w14:textId="77777777" w:rsidR="00E868B1" w:rsidRPr="00B027A1" w:rsidRDefault="00E868B1" w:rsidP="00B027A1">
      <w:pPr>
        <w:spacing w:after="120"/>
        <w:jc w:val="center"/>
      </w:pPr>
    </w:p>
    <w:sectPr w:rsidR="00E868B1" w:rsidRPr="00B027A1" w:rsidSect="00D37102">
      <w:headerReference w:type="default" r:id="rId9"/>
      <w:footerReference w:type="default" r:id="rId10"/>
      <w:pgSz w:w="11906" w:h="16838" w:code="9"/>
      <w:pgMar w:top="1440" w:right="1440" w:bottom="1440" w:left="1440" w:header="706" w:footer="706" w:gutter="0"/>
      <w:pgNumType w:start="4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4C05EA" w14:textId="77777777" w:rsidR="001E4910" w:rsidRDefault="001E4910" w:rsidP="00F82AFE">
      <w:r>
        <w:separator/>
      </w:r>
    </w:p>
  </w:endnote>
  <w:endnote w:type="continuationSeparator" w:id="0">
    <w:p w14:paraId="70372D98" w14:textId="77777777" w:rsidR="001E4910" w:rsidRDefault="001E4910" w:rsidP="00F82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C876D" w14:textId="77777777" w:rsidR="004C46B1" w:rsidRDefault="004C46B1" w:rsidP="004C46B1">
    <w:pPr>
      <w:pStyle w:val="Footer"/>
      <w:tabs>
        <w:tab w:val="clear" w:pos="9360"/>
        <w:tab w:val="right" w:pos="9900"/>
      </w:tabs>
      <w:spacing w:before="120"/>
      <w:rPr>
        <w:b/>
        <w:i/>
        <w:noProof/>
        <w:sz w:val="20"/>
      </w:rPr>
    </w:pPr>
    <w:r>
      <w:rPr>
        <w:b/>
        <w:i/>
        <w:sz w:val="20"/>
      </w:rPr>
      <w:t>Volume</w:t>
    </w:r>
    <w:proofErr w:type="gramStart"/>
    <w:r>
      <w:rPr>
        <w:b/>
        <w:i/>
        <w:sz w:val="20"/>
      </w:rPr>
      <w:t>:1</w:t>
    </w:r>
    <w:proofErr w:type="gramEnd"/>
    <w:r>
      <w:rPr>
        <w:b/>
        <w:i/>
        <w:sz w:val="20"/>
      </w:rPr>
      <w:t>, Issue:2</w:t>
    </w:r>
    <w:r w:rsidRPr="00714041">
      <w:rPr>
        <w:b/>
        <w:i/>
        <w:sz w:val="20"/>
      </w:rPr>
      <w:t xml:space="preserve"> </w:t>
    </w:r>
    <w:r>
      <w:rPr>
        <w:b/>
        <w:i/>
        <w:sz w:val="20"/>
      </w:rPr>
      <w:t>July-December</w:t>
    </w:r>
    <w:r w:rsidRPr="00714041">
      <w:rPr>
        <w:b/>
        <w:i/>
        <w:sz w:val="20"/>
      </w:rPr>
      <w:t xml:space="preserve"> 2024</w:t>
    </w:r>
    <w:r w:rsidRPr="00714041">
      <w:rPr>
        <w:b/>
        <w:i/>
        <w:sz w:val="20"/>
      </w:rPr>
      <w:tab/>
    </w:r>
    <w:r w:rsidRPr="00714041">
      <w:rPr>
        <w:b/>
        <w:i/>
        <w:sz w:val="20"/>
      </w:rPr>
      <w:tab/>
      <w:t xml:space="preserve">     </w:t>
    </w:r>
    <w:r w:rsidRPr="00714041">
      <w:rPr>
        <w:b/>
        <w:i/>
        <w:sz w:val="20"/>
      </w:rPr>
      <w:fldChar w:fldCharType="begin"/>
    </w:r>
    <w:r w:rsidRPr="00714041">
      <w:rPr>
        <w:b/>
        <w:i/>
        <w:sz w:val="20"/>
      </w:rPr>
      <w:instrText xml:space="preserve"> PAGE   \* MERGEFORMAT </w:instrText>
    </w:r>
    <w:r w:rsidRPr="00714041">
      <w:rPr>
        <w:b/>
        <w:i/>
        <w:sz w:val="20"/>
      </w:rPr>
      <w:fldChar w:fldCharType="separate"/>
    </w:r>
    <w:r>
      <w:rPr>
        <w:b/>
        <w:i/>
        <w:noProof/>
        <w:sz w:val="20"/>
      </w:rPr>
      <w:t>40</w:t>
    </w:r>
    <w:r w:rsidRPr="00714041">
      <w:rPr>
        <w:b/>
        <w:i/>
        <w:noProof/>
        <w:sz w:val="20"/>
      </w:rPr>
      <w:fldChar w:fldCharType="end"/>
    </w:r>
  </w:p>
  <w:p w14:paraId="6C9446DF" w14:textId="77777777" w:rsidR="004C46B1" w:rsidRPr="00714041" w:rsidRDefault="004C46B1" w:rsidP="004C46B1">
    <w:pPr>
      <w:pStyle w:val="Footer"/>
      <w:tabs>
        <w:tab w:val="clear" w:pos="4680"/>
        <w:tab w:val="clear" w:pos="9360"/>
        <w:tab w:val="left" w:pos="1628"/>
        <w:tab w:val="left" w:pos="1715"/>
        <w:tab w:val="left" w:pos="3225"/>
      </w:tabs>
      <w:rPr>
        <w:b/>
        <w:i/>
        <w:sz w:val="20"/>
      </w:rPr>
    </w:pPr>
    <w:r>
      <w:rPr>
        <w:b/>
        <w:i/>
        <w:noProof/>
        <w:sz w:val="20"/>
      </w:rPr>
      <w:t>www.apjmr.org</w:t>
    </w:r>
    <w:r>
      <w:rPr>
        <w:b/>
        <w:i/>
        <w:noProof/>
        <w:sz w:val="20"/>
      </w:rPr>
      <w:tab/>
    </w:r>
    <w:r>
      <w:rPr>
        <w:b/>
        <w:i/>
        <w:noProof/>
        <w:sz w:val="20"/>
      </w:rPr>
      <w:tab/>
    </w:r>
    <w:r>
      <w:rPr>
        <w:b/>
        <w:i/>
        <w:noProof/>
        <w:sz w:val="20"/>
      </w:rPr>
      <w:tab/>
    </w:r>
  </w:p>
  <w:p w14:paraId="0F6FD6E5" w14:textId="77777777" w:rsidR="004C46B1" w:rsidRDefault="004C46B1" w:rsidP="004C46B1"/>
  <w:p w14:paraId="5093C8A9" w14:textId="77777777" w:rsidR="004C46B1" w:rsidRPr="00996F37" w:rsidRDefault="004C46B1" w:rsidP="004C46B1">
    <w:pPr>
      <w:pStyle w:val="Footer"/>
    </w:pPr>
  </w:p>
  <w:p w14:paraId="164E7106" w14:textId="344F6F45" w:rsidR="00D37102" w:rsidRPr="004C46B1" w:rsidRDefault="00D37102" w:rsidP="004C46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482935" w14:textId="77777777" w:rsidR="001E4910" w:rsidRDefault="001E4910" w:rsidP="00F82AFE">
      <w:r>
        <w:separator/>
      </w:r>
    </w:p>
  </w:footnote>
  <w:footnote w:type="continuationSeparator" w:id="0">
    <w:p w14:paraId="37CAC723" w14:textId="77777777" w:rsidR="001E4910" w:rsidRDefault="001E4910" w:rsidP="00F82AFE">
      <w:r>
        <w:continuationSeparator/>
      </w:r>
    </w:p>
  </w:footnote>
  <w:footnote w:id="1">
    <w:p w14:paraId="3D9A4477" w14:textId="333EB112" w:rsidR="004C46B1" w:rsidRPr="004C46B1" w:rsidRDefault="004C46B1">
      <w:pPr>
        <w:pStyle w:val="FootnoteText"/>
        <w:rPr>
          <w:lang w:val="en-US"/>
        </w:rPr>
      </w:pPr>
      <w:r>
        <w:rPr>
          <w:rStyle w:val="FootnoteReference"/>
        </w:rPr>
        <w:footnoteRef/>
      </w:r>
      <w:r>
        <w:t xml:space="preserve"> </w:t>
      </w:r>
      <w:r w:rsidRPr="004C46B1">
        <w:t>Assistant Professor of Law at Amity Law School, Amity University Rajasthan</w:t>
      </w:r>
    </w:p>
  </w:footnote>
  <w:footnote w:id="2">
    <w:p w14:paraId="33FFD032" w14:textId="68AD38AE" w:rsidR="004C46B1" w:rsidRPr="004C46B1" w:rsidRDefault="004C46B1">
      <w:pPr>
        <w:pStyle w:val="FootnoteText"/>
        <w:rPr>
          <w:lang w:val="en-US"/>
        </w:rPr>
      </w:pPr>
      <w:r>
        <w:rPr>
          <w:rStyle w:val="FootnoteReference"/>
        </w:rPr>
        <w:footnoteRef/>
      </w:r>
      <w:r>
        <w:t xml:space="preserve"> </w:t>
      </w:r>
      <w:r w:rsidRPr="004C46B1">
        <w:t xml:space="preserve">Associate Professor of Law at Faculty of Law, SGT University, </w:t>
      </w:r>
      <w:proofErr w:type="spellStart"/>
      <w:r w:rsidRPr="004C46B1">
        <w:t>Gurugram</w:t>
      </w:r>
      <w:bookmarkStart w:id="0" w:name="_GoBack"/>
      <w:bookmarkEnd w:id="0"/>
      <w:proofErr w:type="spellEnd"/>
    </w:p>
  </w:footnote>
  <w:footnote w:id="3">
    <w:p w14:paraId="2CBAADF6" w14:textId="77777777" w:rsidR="00AB11CF" w:rsidRPr="00BF2B9F" w:rsidRDefault="00AB11CF" w:rsidP="00AB11CF">
      <w:pPr>
        <w:pStyle w:val="FootnoteText"/>
        <w:ind w:left="360"/>
        <w:jc w:val="both"/>
        <w:rPr>
          <w:color w:val="000000" w:themeColor="text1"/>
        </w:rPr>
      </w:pPr>
      <w:r w:rsidRPr="00BF2B9F">
        <w:rPr>
          <w:rStyle w:val="FootnoteReference"/>
          <w:rFonts w:eastAsiaTheme="majorEastAsia"/>
          <w:color w:val="000000" w:themeColor="text1"/>
        </w:rPr>
        <w:footnoteRef/>
      </w:r>
      <w:r w:rsidRPr="00BF2B9F">
        <w:rPr>
          <w:color w:val="000000" w:themeColor="text1"/>
        </w:rPr>
        <w:t xml:space="preserve"> </w:t>
      </w:r>
      <w:proofErr w:type="spellStart"/>
      <w:r w:rsidRPr="00BF2B9F">
        <w:rPr>
          <w:color w:val="000000" w:themeColor="text1"/>
        </w:rPr>
        <w:t>Arunima</w:t>
      </w:r>
      <w:proofErr w:type="spellEnd"/>
      <w:r w:rsidRPr="00BF2B9F">
        <w:rPr>
          <w:color w:val="000000" w:themeColor="text1"/>
        </w:rPr>
        <w:t xml:space="preserve"> </w:t>
      </w:r>
      <w:proofErr w:type="spellStart"/>
      <w:r w:rsidRPr="00BF2B9F">
        <w:rPr>
          <w:color w:val="000000" w:themeColor="text1"/>
        </w:rPr>
        <w:t>Baruah</w:t>
      </w:r>
      <w:proofErr w:type="spellEnd"/>
      <w:r w:rsidRPr="00BF2B9F">
        <w:rPr>
          <w:color w:val="000000" w:themeColor="text1"/>
        </w:rPr>
        <w:t xml:space="preserve">, </w:t>
      </w:r>
      <w:proofErr w:type="gramStart"/>
      <w:r w:rsidRPr="00BF2B9F">
        <w:rPr>
          <w:i/>
          <w:iCs/>
          <w:color w:val="000000" w:themeColor="text1"/>
        </w:rPr>
        <w:t>The</w:t>
      </w:r>
      <w:proofErr w:type="gramEnd"/>
      <w:r w:rsidRPr="00BF2B9F">
        <w:rPr>
          <w:i/>
          <w:iCs/>
          <w:color w:val="000000" w:themeColor="text1"/>
        </w:rPr>
        <w:t xml:space="preserve"> Soft Target-Crime Against Women</w:t>
      </w:r>
      <w:r w:rsidRPr="00BF2B9F">
        <w:rPr>
          <w:color w:val="000000" w:themeColor="text1"/>
        </w:rPr>
        <w:t xml:space="preserve"> 149 (</w:t>
      </w:r>
      <w:proofErr w:type="spellStart"/>
      <w:r w:rsidRPr="00BF2B9F">
        <w:rPr>
          <w:color w:val="000000" w:themeColor="text1"/>
        </w:rPr>
        <w:t>Kilaso</w:t>
      </w:r>
      <w:proofErr w:type="spellEnd"/>
      <w:r w:rsidRPr="00BF2B9F">
        <w:rPr>
          <w:color w:val="000000" w:themeColor="text1"/>
        </w:rPr>
        <w:t xml:space="preserve"> Books, New Delhi, 2004). </w:t>
      </w:r>
    </w:p>
  </w:footnote>
  <w:footnote w:id="4">
    <w:p w14:paraId="5DA66248"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gramStart"/>
      <w:r w:rsidRPr="00840DDE">
        <w:rPr>
          <w:color w:val="000000" w:themeColor="text1"/>
        </w:rPr>
        <w:t>The Constitution of India, art.</w:t>
      </w:r>
      <w:proofErr w:type="gramEnd"/>
      <w:r w:rsidRPr="00840DDE">
        <w:rPr>
          <w:color w:val="000000" w:themeColor="text1"/>
        </w:rPr>
        <w:t xml:space="preserve"> </w:t>
      </w:r>
      <w:proofErr w:type="gramStart"/>
      <w:r w:rsidRPr="00840DDE">
        <w:rPr>
          <w:color w:val="000000" w:themeColor="text1"/>
        </w:rPr>
        <w:t>15(3).</w:t>
      </w:r>
      <w:proofErr w:type="gramEnd"/>
      <w:r w:rsidRPr="00840DDE">
        <w:rPr>
          <w:color w:val="000000" w:themeColor="text1"/>
        </w:rPr>
        <w:t xml:space="preserve"> </w:t>
      </w:r>
    </w:p>
  </w:footnote>
  <w:footnote w:id="5">
    <w:p w14:paraId="53153980"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gramStart"/>
      <w:r w:rsidRPr="00840DDE">
        <w:rPr>
          <w:color w:val="000000" w:themeColor="text1"/>
        </w:rPr>
        <w:t>The Constitution of India, art.</w:t>
      </w:r>
      <w:proofErr w:type="gramEnd"/>
      <w:r w:rsidRPr="00840DDE">
        <w:rPr>
          <w:color w:val="000000" w:themeColor="text1"/>
        </w:rPr>
        <w:t xml:space="preserve"> 39.</w:t>
      </w:r>
    </w:p>
  </w:footnote>
  <w:footnote w:id="6">
    <w:p w14:paraId="704BB911"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Section 6, Hindu Succession Act, 1956, substituted by The Hindu Succession (Amendment) Act, 2005</w:t>
      </w:r>
    </w:p>
  </w:footnote>
  <w:footnote w:id="7">
    <w:p w14:paraId="2407ABA7"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spellStart"/>
      <w:r w:rsidRPr="00840DDE">
        <w:rPr>
          <w:color w:val="000000" w:themeColor="text1"/>
        </w:rPr>
        <w:t>Shobha</w:t>
      </w:r>
      <w:proofErr w:type="spellEnd"/>
      <w:r w:rsidRPr="00840DDE">
        <w:rPr>
          <w:color w:val="000000" w:themeColor="text1"/>
        </w:rPr>
        <w:t xml:space="preserve"> </w:t>
      </w:r>
      <w:proofErr w:type="spellStart"/>
      <w:r w:rsidRPr="00840DDE">
        <w:rPr>
          <w:color w:val="000000" w:themeColor="text1"/>
        </w:rPr>
        <w:t>Saxena</w:t>
      </w:r>
      <w:proofErr w:type="spellEnd"/>
      <w:r w:rsidRPr="00840DDE">
        <w:rPr>
          <w:color w:val="000000" w:themeColor="text1"/>
        </w:rPr>
        <w:t xml:space="preserve">, </w:t>
      </w:r>
      <w:r w:rsidRPr="00840DDE">
        <w:rPr>
          <w:i/>
          <w:iCs/>
          <w:color w:val="000000" w:themeColor="text1"/>
        </w:rPr>
        <w:t>Crimes against Women and Protective Laws</w:t>
      </w:r>
      <w:r w:rsidRPr="00840DDE">
        <w:rPr>
          <w:color w:val="000000" w:themeColor="text1"/>
        </w:rPr>
        <w:t xml:space="preserve"> 116 (Deep and Deep Publications </w:t>
      </w:r>
      <w:proofErr w:type="spellStart"/>
      <w:r w:rsidRPr="00840DDE">
        <w:rPr>
          <w:color w:val="000000" w:themeColor="text1"/>
        </w:rPr>
        <w:t>Pvt.</w:t>
      </w:r>
      <w:proofErr w:type="spellEnd"/>
      <w:r w:rsidRPr="00840DDE">
        <w:rPr>
          <w:color w:val="000000" w:themeColor="text1"/>
        </w:rPr>
        <w:t xml:space="preserve"> Ltd., New Delhi, 1st edn.,4th reprint, 2008).</w:t>
      </w:r>
      <w:r w:rsidRPr="00840DDE">
        <w:rPr>
          <w:noProof/>
          <w:color w:val="000000" w:themeColor="text1"/>
          <w:lang w:val="en-US"/>
        </w:rPr>
        <w:t xml:space="preserve"> </w:t>
      </w:r>
    </w:p>
  </w:footnote>
  <w:footnote w:id="8">
    <w:p w14:paraId="5550DD7D"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“History of Joint Sessions of Parliament”, The Times of India (March 26, 2002) </w:t>
      </w:r>
      <w:r w:rsidRPr="00840DDE">
        <w:rPr>
          <w:i/>
          <w:iCs/>
          <w:color w:val="000000" w:themeColor="text1"/>
        </w:rPr>
        <w:t>available at:</w:t>
      </w:r>
      <w:r w:rsidRPr="00840DDE">
        <w:rPr>
          <w:color w:val="000000" w:themeColor="text1"/>
        </w:rPr>
        <w:t xml:space="preserve"> https://timesofindia.indiatimes.com/anti-terror-law/History-of-joint-sessions-of Parliament/</w:t>
      </w:r>
      <w:proofErr w:type="spellStart"/>
      <w:r w:rsidRPr="00840DDE">
        <w:rPr>
          <w:color w:val="000000" w:themeColor="text1"/>
        </w:rPr>
        <w:t>articleshow</w:t>
      </w:r>
      <w:proofErr w:type="spellEnd"/>
      <w:r w:rsidRPr="00840DDE">
        <w:rPr>
          <w:color w:val="000000" w:themeColor="text1"/>
        </w:rPr>
        <w:t>/4916708.cms (Visited on September 23, 2023)</w:t>
      </w:r>
    </w:p>
  </w:footnote>
  <w:footnote w:id="9">
    <w:p w14:paraId="1A4DEA9D"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r w:rsidRPr="00840DDE">
        <w:rPr>
          <w:i/>
          <w:iCs/>
          <w:color w:val="000000" w:themeColor="text1"/>
        </w:rPr>
        <w:t>Ibid.</w:t>
      </w:r>
    </w:p>
  </w:footnote>
  <w:footnote w:id="10">
    <w:p w14:paraId="3A2E5995"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The Dowry Prohibition (Amendment) Act, 1986 </w:t>
      </w:r>
      <w:r w:rsidRPr="00840DDE">
        <w:rPr>
          <w:i/>
          <w:iCs/>
          <w:color w:val="000000" w:themeColor="text1"/>
        </w:rPr>
        <w:t>available at:</w:t>
      </w:r>
      <w:r w:rsidRPr="00840DDE">
        <w:rPr>
          <w:color w:val="000000" w:themeColor="text1"/>
        </w:rPr>
        <w:t xml:space="preserve"> https://www.indiacode.nic.in/repealed-act/repealed_act_documents/A1986-</w:t>
      </w:r>
      <w:proofErr w:type="gramStart"/>
      <w:r w:rsidRPr="00840DDE">
        <w:rPr>
          <w:color w:val="000000" w:themeColor="text1"/>
        </w:rPr>
        <w:t>43.pdf  (</w:t>
      </w:r>
      <w:proofErr w:type="gramEnd"/>
      <w:r w:rsidRPr="00840DDE">
        <w:rPr>
          <w:color w:val="000000" w:themeColor="text1"/>
        </w:rPr>
        <w:t>Visited on Sep. 6 , 2022).</w:t>
      </w:r>
    </w:p>
  </w:footnote>
  <w:footnote w:id="11">
    <w:p w14:paraId="1F2F8D16"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r w:rsidRPr="00840DDE">
        <w:rPr>
          <w:i/>
          <w:iCs/>
          <w:color w:val="000000" w:themeColor="text1"/>
        </w:rPr>
        <w:t>Ibid.</w:t>
      </w:r>
    </w:p>
  </w:footnote>
  <w:footnote w:id="12">
    <w:p w14:paraId="4DA195FB"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gramStart"/>
      <w:r w:rsidRPr="00840DDE">
        <w:rPr>
          <w:color w:val="000000" w:themeColor="text1"/>
        </w:rPr>
        <w:t>The Indian Penal Code, 1860.</w:t>
      </w:r>
      <w:proofErr w:type="gramEnd"/>
    </w:p>
  </w:footnote>
  <w:footnote w:id="13">
    <w:p w14:paraId="4B039CF8"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gramStart"/>
      <w:r w:rsidRPr="00840DDE">
        <w:rPr>
          <w:color w:val="000000" w:themeColor="text1"/>
        </w:rPr>
        <w:t>The Criminal Procedure Code, 1973.</w:t>
      </w:r>
      <w:proofErr w:type="gramEnd"/>
    </w:p>
  </w:footnote>
  <w:footnote w:id="14">
    <w:p w14:paraId="64A9A750"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w:t>
      </w:r>
      <w:proofErr w:type="gramStart"/>
      <w:r w:rsidRPr="00840DDE">
        <w:rPr>
          <w:color w:val="000000" w:themeColor="text1"/>
        </w:rPr>
        <w:t>The Indian Evidence Act, 1872.</w:t>
      </w:r>
      <w:proofErr w:type="gramEnd"/>
    </w:p>
  </w:footnote>
  <w:footnote w:id="15">
    <w:p w14:paraId="5B84A45E"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The Indian Code, 1860, s.498A.</w:t>
      </w:r>
    </w:p>
  </w:footnote>
  <w:footnote w:id="16">
    <w:p w14:paraId="0AA2911A"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The Indian Penal Code, 1860, s.304 B.</w:t>
      </w:r>
    </w:p>
  </w:footnote>
  <w:footnote w:id="17">
    <w:p w14:paraId="19A55BF4" w14:textId="77777777" w:rsidR="00F82AFE" w:rsidRPr="00840DDE" w:rsidRDefault="00F82AFE" w:rsidP="00F82AFE">
      <w:pPr>
        <w:pStyle w:val="FootnoteText"/>
        <w:jc w:val="both"/>
        <w:rPr>
          <w:color w:val="000000" w:themeColor="text1"/>
          <w:lang w:val="en-US"/>
        </w:rPr>
      </w:pPr>
      <w:r w:rsidRPr="00840DDE">
        <w:rPr>
          <w:rStyle w:val="FootnoteReference"/>
          <w:color w:val="000000" w:themeColor="text1"/>
        </w:rPr>
        <w:footnoteRef/>
      </w:r>
      <w:r w:rsidRPr="00840DDE">
        <w:rPr>
          <w:color w:val="000000" w:themeColor="text1"/>
        </w:rPr>
        <w:t xml:space="preserve"> The Indian Evidence Act, 1872, s.113A, 113B.</w:t>
      </w:r>
    </w:p>
  </w:footnote>
  <w:footnote w:id="18">
    <w:p w14:paraId="5CC58EE9" w14:textId="77777777" w:rsidR="00F82AFE" w:rsidRPr="00840DDE" w:rsidRDefault="00F82AFE" w:rsidP="00F82AFE">
      <w:pPr>
        <w:pStyle w:val="FootnoteText"/>
        <w:jc w:val="both"/>
        <w:rPr>
          <w:color w:val="000000" w:themeColor="text1"/>
        </w:rPr>
      </w:pPr>
      <w:r w:rsidRPr="00840DDE">
        <w:rPr>
          <w:rStyle w:val="FootnoteReference"/>
          <w:color w:val="000000" w:themeColor="text1"/>
        </w:rPr>
        <w:footnoteRef/>
      </w:r>
      <w:r w:rsidRPr="00840DDE">
        <w:rPr>
          <w:color w:val="000000" w:themeColor="text1"/>
        </w:rPr>
        <w:t xml:space="preserve"> </w:t>
      </w:r>
      <w:proofErr w:type="spellStart"/>
      <w:r w:rsidRPr="00840DDE">
        <w:rPr>
          <w:color w:val="000000" w:themeColor="text1"/>
        </w:rPr>
        <w:t>Vinay</w:t>
      </w:r>
      <w:proofErr w:type="spellEnd"/>
      <w:r w:rsidRPr="00840DDE">
        <w:rPr>
          <w:color w:val="000000" w:themeColor="text1"/>
        </w:rPr>
        <w:t xml:space="preserve"> Sharma, </w:t>
      </w:r>
      <w:r w:rsidRPr="00840DDE">
        <w:rPr>
          <w:i/>
          <w:iCs/>
          <w:color w:val="000000" w:themeColor="text1"/>
        </w:rPr>
        <w:t>Dowry Deaths: Legal Provisions and Judicial Interpretation</w:t>
      </w:r>
      <w:r w:rsidRPr="00840DDE">
        <w:rPr>
          <w:color w:val="000000" w:themeColor="text1"/>
        </w:rPr>
        <w:t xml:space="preserve"> 22 (Deep &amp; Deep Publication, New Delhi, 2007).</w:t>
      </w:r>
      <w:r w:rsidRPr="00840DDE">
        <w:rPr>
          <w:noProof/>
          <w:color w:val="000000" w:themeColor="text1"/>
          <w:lang w:val="en-US"/>
        </w:rPr>
        <w:t xml:space="preserve"> </w:t>
      </w:r>
    </w:p>
  </w:footnote>
  <w:footnote w:id="19">
    <w:p w14:paraId="22086D4B" w14:textId="77777777" w:rsidR="00F82AFE" w:rsidRPr="00840DDE" w:rsidRDefault="00F82AFE" w:rsidP="00F82AFE">
      <w:pPr>
        <w:pStyle w:val="FootnoteText"/>
        <w:jc w:val="both"/>
        <w:rPr>
          <w:color w:val="000000" w:themeColor="text1"/>
        </w:rPr>
      </w:pPr>
      <w:r w:rsidRPr="00840DDE">
        <w:rPr>
          <w:rStyle w:val="FootnoteReference"/>
          <w:color w:val="000000" w:themeColor="text1"/>
        </w:rPr>
        <w:footnoteRef/>
      </w:r>
      <w:r w:rsidRPr="00840DDE">
        <w:rPr>
          <w:color w:val="000000" w:themeColor="text1"/>
        </w:rPr>
        <w:t xml:space="preserve"> The Sindh </w:t>
      </w:r>
      <w:proofErr w:type="spellStart"/>
      <w:r w:rsidRPr="00840DDE">
        <w:rPr>
          <w:color w:val="000000" w:themeColor="text1"/>
        </w:rPr>
        <w:t>Deti-Leti</w:t>
      </w:r>
      <w:proofErr w:type="spellEnd"/>
      <w:r w:rsidRPr="00840DDE">
        <w:rPr>
          <w:color w:val="000000" w:themeColor="text1"/>
        </w:rPr>
        <w:t xml:space="preserve"> Act, 1939 </w:t>
      </w:r>
      <w:r w:rsidRPr="00840DDE">
        <w:rPr>
          <w:i/>
          <w:iCs/>
          <w:color w:val="000000" w:themeColor="text1"/>
        </w:rPr>
        <w:t>available at</w:t>
      </w:r>
      <w:r w:rsidRPr="00840DDE">
        <w:rPr>
          <w:color w:val="000000" w:themeColor="text1"/>
        </w:rPr>
        <w:t>: http://sindhlaws.gov.pk/setup/publications/PUB-14-</w:t>
      </w:r>
      <w:proofErr w:type="gramStart"/>
      <w:r w:rsidRPr="00840DDE">
        <w:rPr>
          <w:color w:val="000000" w:themeColor="text1"/>
        </w:rPr>
        <w:t>000155.pdf  (</w:t>
      </w:r>
      <w:proofErr w:type="gramEnd"/>
      <w:r w:rsidRPr="00840DDE">
        <w:rPr>
          <w:color w:val="000000" w:themeColor="text1"/>
        </w:rPr>
        <w:t>Visited on September 12, 2022).</w:t>
      </w:r>
      <w:r w:rsidRPr="00840DDE">
        <w:rPr>
          <w:noProof/>
          <w:color w:val="000000" w:themeColor="text1"/>
          <w:lang w:val="en-US"/>
        </w:rPr>
        <w:t xml:space="preserve"> </w:t>
      </w:r>
    </w:p>
  </w:footnote>
  <w:footnote w:id="20">
    <w:p w14:paraId="09EAD839" w14:textId="650B63A1" w:rsidR="00AB11CF" w:rsidRPr="00BF2B9F" w:rsidRDefault="00AB11CF" w:rsidP="00086A3C">
      <w:pPr>
        <w:pStyle w:val="FootnoteText"/>
        <w:jc w:val="both"/>
        <w:rPr>
          <w:color w:val="000000" w:themeColor="text1"/>
          <w:lang w:val="en-US"/>
        </w:rPr>
      </w:pPr>
      <w:r w:rsidRPr="00BF2B9F">
        <w:rPr>
          <w:rStyle w:val="FootnoteReference"/>
          <w:rFonts w:eastAsiaTheme="majorEastAsia"/>
          <w:color w:val="000000" w:themeColor="text1"/>
        </w:rPr>
        <w:footnoteRef/>
      </w:r>
      <w:r w:rsidRPr="00BF2B9F">
        <w:rPr>
          <w:color w:val="000000" w:themeColor="text1"/>
        </w:rPr>
        <w:t xml:space="preserve">The Dowry Prohibition (Amendment) Act, 1986 </w:t>
      </w:r>
      <w:r w:rsidRPr="00BF2B9F">
        <w:rPr>
          <w:i/>
          <w:iCs/>
          <w:color w:val="000000" w:themeColor="text1"/>
        </w:rPr>
        <w:t>available at:</w:t>
      </w:r>
      <w:r w:rsidRPr="00BF2B9F">
        <w:rPr>
          <w:color w:val="000000" w:themeColor="text1"/>
        </w:rPr>
        <w:t xml:space="preserve"> https://www.indiacode.nic.in/repealed-act/repealed_act_documents/A1986-</w:t>
      </w:r>
      <w:proofErr w:type="gramStart"/>
      <w:r w:rsidRPr="00BF2B9F">
        <w:rPr>
          <w:color w:val="000000" w:themeColor="text1"/>
        </w:rPr>
        <w:t>43.pdf  (</w:t>
      </w:r>
      <w:proofErr w:type="gramEnd"/>
      <w:r w:rsidRPr="00BF2B9F">
        <w:rPr>
          <w:color w:val="000000" w:themeColor="text1"/>
        </w:rPr>
        <w:t>Visited on Sep. 6 , 2022).</w:t>
      </w:r>
    </w:p>
  </w:footnote>
  <w:footnote w:id="21">
    <w:p w14:paraId="1175B968" w14:textId="77777777" w:rsidR="00AB11CF" w:rsidRPr="00BF2B9F" w:rsidRDefault="00AB11CF" w:rsidP="00A43E34">
      <w:pPr>
        <w:pStyle w:val="FootnoteText"/>
        <w:jc w:val="both"/>
        <w:rPr>
          <w:color w:val="000000" w:themeColor="text1"/>
          <w:lang w:val="en-US"/>
        </w:rPr>
      </w:pPr>
      <w:r w:rsidRPr="00BF2B9F">
        <w:rPr>
          <w:rStyle w:val="FootnoteReference"/>
          <w:rFonts w:eastAsiaTheme="majorEastAsia"/>
          <w:color w:val="000000" w:themeColor="text1"/>
        </w:rPr>
        <w:footnoteRef/>
      </w:r>
      <w:r w:rsidRPr="00BF2B9F">
        <w:rPr>
          <w:color w:val="000000" w:themeColor="text1"/>
        </w:rPr>
        <w:t xml:space="preserve"> </w:t>
      </w:r>
      <w:r w:rsidRPr="00BF2B9F">
        <w:rPr>
          <w:i/>
          <w:iCs/>
          <w:color w:val="000000" w:themeColor="text1"/>
        </w:rPr>
        <w:t>Ibid.</w:t>
      </w:r>
    </w:p>
  </w:footnote>
  <w:footnote w:id="22">
    <w:p w14:paraId="1A42F815" w14:textId="00F9FD8C" w:rsidR="00A916A2" w:rsidRPr="00A43E34" w:rsidRDefault="00A916A2" w:rsidP="00A43E34">
      <w:pPr>
        <w:pStyle w:val="FootnoteText"/>
        <w:jc w:val="both"/>
      </w:pPr>
      <w:r>
        <w:rPr>
          <w:rStyle w:val="FootnoteReference"/>
        </w:rPr>
        <w:footnoteRef/>
      </w:r>
      <w:r>
        <w:t xml:space="preserve">IPC, CRPC &amp; EVIDENCE ACT: REPLACED BY NEW CRIMINAL LAWS </w:t>
      </w:r>
      <w:r>
        <w:rPr>
          <w:i/>
          <w:iCs/>
        </w:rPr>
        <w:t xml:space="preserve">at: </w:t>
      </w:r>
      <w:hyperlink r:id="rId1" w:history="1">
        <w:r w:rsidRPr="00A43E34">
          <w:rPr>
            <w:rStyle w:val="Hyperlink"/>
            <w:color w:val="000000" w:themeColor="text1"/>
          </w:rPr>
          <w:t>https://www.lawrbit.com/article/ipc-crpc-evidence-act-replaced-by-new-criminal-laws</w:t>
        </w:r>
        <w:r w:rsidRPr="00C45E9F">
          <w:rPr>
            <w:rStyle w:val="Hyperlink"/>
          </w:rPr>
          <w:t>/</w:t>
        </w:r>
      </w:hyperlink>
      <w:r>
        <w:t xml:space="preserve"> (last visited on July 2, 2024).</w:t>
      </w:r>
    </w:p>
  </w:footnote>
  <w:footnote w:id="23">
    <w:p w14:paraId="08038802" w14:textId="1180971D" w:rsidR="00A43E34" w:rsidRPr="00A43E34" w:rsidRDefault="00A43E34" w:rsidP="00A43E34">
      <w:pPr>
        <w:pStyle w:val="FootnoteText"/>
        <w:jc w:val="both"/>
        <w:rPr>
          <w:lang w:val="en-US"/>
        </w:rPr>
      </w:pPr>
      <w:r>
        <w:rPr>
          <w:rStyle w:val="FootnoteReference"/>
        </w:rPr>
        <w:footnoteRef/>
      </w:r>
      <w:r>
        <w:t xml:space="preserve">Revised criminal reform Bills in Parliament: What has changed, and why </w:t>
      </w:r>
      <w:r>
        <w:rPr>
          <w:i/>
          <w:iCs/>
        </w:rPr>
        <w:t xml:space="preserve">at: </w:t>
      </w:r>
      <w:hyperlink r:id="rId2" w:history="1">
        <w:r w:rsidRPr="00A43E34">
          <w:rPr>
            <w:rStyle w:val="Hyperlink"/>
            <w:i/>
            <w:iCs/>
            <w:color w:val="000000" w:themeColor="text1"/>
          </w:rPr>
          <w:t>https://indianexpress.com/article/explained/explained-law/revised-criminal-reform-bills-in-parliament-what-changed-why-9066678/</w:t>
        </w:r>
      </w:hyperlink>
      <w:r w:rsidRPr="00A43E34">
        <w:rPr>
          <w:i/>
          <w:iCs/>
          <w:color w:val="000000" w:themeColor="text1"/>
        </w:rPr>
        <w:t xml:space="preserve"> </w:t>
      </w:r>
      <w:r w:rsidRPr="00A43E34">
        <w:rPr>
          <w:color w:val="000000" w:themeColor="text1"/>
        </w:rPr>
        <w:t xml:space="preserve"> (last visited on July 18, 2024).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969AD2" w14:textId="77777777" w:rsidR="004C46B1" w:rsidRPr="00277711" w:rsidRDefault="004C46B1" w:rsidP="004C46B1">
    <w:pPr>
      <w:pStyle w:val="Header"/>
      <w:tabs>
        <w:tab w:val="clear" w:pos="9360"/>
        <w:tab w:val="left" w:pos="2830"/>
        <w:tab w:val="right" w:pos="9890"/>
      </w:tabs>
      <w:rPr>
        <w:b/>
      </w:rPr>
    </w:pPr>
    <w:r>
      <w:rPr>
        <w:b/>
      </w:rPr>
      <w:tab/>
    </w:r>
    <w:r>
      <w:rPr>
        <w:b/>
      </w:rPr>
      <w:tab/>
    </w:r>
    <w:r>
      <w:rPr>
        <w:b/>
      </w:rPr>
      <w:tab/>
    </w:r>
    <w:r>
      <w:rPr>
        <w:b/>
        <w:noProof/>
        <w:lang w:val="en-US" w:eastAsia="en-US"/>
      </w:rPr>
      <mc:AlternateContent>
        <mc:Choice Requires="wps">
          <w:drawing>
            <wp:anchor distT="0" distB="0" distL="114300" distR="114300" simplePos="0" relativeHeight="251661312" behindDoc="0" locked="0" layoutInCell="1" allowOverlap="1" wp14:anchorId="46897A68" wp14:editId="2329D361">
              <wp:simplePos x="0" y="0"/>
              <wp:positionH relativeFrom="column">
                <wp:posOffset>-59635</wp:posOffset>
              </wp:positionH>
              <wp:positionV relativeFrom="paragraph">
                <wp:posOffset>-91440</wp:posOffset>
              </wp:positionV>
              <wp:extent cx="1502797" cy="437322"/>
              <wp:effectExtent l="0" t="0" r="2540" b="1270"/>
              <wp:wrapNone/>
              <wp:docPr id="1" name="Text Box 1"/>
              <wp:cNvGraphicFramePr/>
              <a:graphic xmlns:a="http://schemas.openxmlformats.org/drawingml/2006/main">
                <a:graphicData uri="http://schemas.microsoft.com/office/word/2010/wordprocessingShape">
                  <wps:wsp>
                    <wps:cNvSpPr txBox="1"/>
                    <wps:spPr>
                      <a:xfrm>
                        <a:off x="0" y="0"/>
                        <a:ext cx="1502797" cy="4373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AF4EBF8" w14:textId="77777777" w:rsidR="004C46B1" w:rsidRDefault="004C46B1" w:rsidP="004C46B1">
                          <w:r>
                            <w:rPr>
                              <w:noProof/>
                              <w:lang w:val="en-US" w:eastAsia="en-US"/>
                            </w:rPr>
                            <w:drawing>
                              <wp:inline distT="0" distB="0" distL="0" distR="0" wp14:anchorId="221912E3" wp14:editId="36F65E90">
                                <wp:extent cx="1296063" cy="342009"/>
                                <wp:effectExtent l="0" t="0" r="0" b="1270"/>
                                <wp:docPr id="2" name="Picture 2" descr="https://apjmr.org/wp-content/uploads/2025/09/cropped-Asia-pacifi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jmr.org/wp-content/uploads/2025/09/cropped-Asia-pacific-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6177" cy="34203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7pt;margin-top:-7.2pt;width:118.35pt;height:34.4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" fillcolor="white [3201]" stroked="f" strokeweight=".5pt">
              <v:textbox>
                <w:txbxContent>
                  <w:p w14:paraId="0AF4EBF8" w14:textId="77777777" w:rsidR="004C46B1" w:rsidRDefault="004C46B1" w:rsidP="004C46B1">
                    <w:r>
                      <w:rPr>
                        <w:noProof/>
                        <w:lang w:val="en-US" w:eastAsia="en-US"/>
                      </w:rPr>
                      <w:drawing>
                        <wp:inline distT="0" distB="0" distL="0" distR="0" wp14:anchorId="221912E3" wp14:editId="36F65E90">
                          <wp:extent cx="1296063" cy="342009"/>
                          <wp:effectExtent l="0" t="0" r="0" b="1270"/>
                          <wp:docPr id="2" name="Picture 2" descr="https://apjmr.org/wp-content/uploads/2025/09/cropped-Asia-pacifi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jmr.org/wp-content/uploads/2025/09/cropped-Asia-pacific-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6177" cy="342039"/>
                                  </a:xfrm>
                                  <a:prstGeom prst="rect">
                                    <a:avLst/>
                                  </a:prstGeom>
                                  <a:noFill/>
                                  <a:ln>
                                    <a:noFill/>
                                  </a:ln>
                                </pic:spPr>
                              </pic:pic>
                            </a:graphicData>
                          </a:graphic>
                        </wp:inline>
                      </w:drawing>
                    </w:r>
                  </w:p>
                </w:txbxContent>
              </v:textbox>
            </v:shape>
          </w:pict>
        </mc:Fallback>
      </mc:AlternateContent>
    </w:r>
    <w:r>
      <w:rPr>
        <w:b/>
      </w:rPr>
      <w:t>Asia Pacific Journal of Multidisciplinary Research</w:t>
    </w:r>
  </w:p>
  <w:p w14:paraId="40BE4255" w14:textId="77777777" w:rsidR="004C46B1" w:rsidRPr="007413EA" w:rsidRDefault="004C46B1" w:rsidP="004C46B1">
    <w:pPr>
      <w:pStyle w:val="Header"/>
      <w:pBdr>
        <w:bottom w:val="single" w:sz="4" w:space="1" w:color="auto"/>
      </w:pBdr>
      <w:tabs>
        <w:tab w:val="clear" w:pos="9360"/>
        <w:tab w:val="right" w:pos="9900"/>
      </w:tabs>
      <w:spacing w:after="120"/>
      <w:jc w:val="right"/>
    </w:pPr>
    <w:r>
      <w:rPr>
        <w:b/>
      </w:rPr>
      <w:t xml:space="preserve">    </w:t>
    </w:r>
    <w:r>
      <w:rPr>
        <w:b/>
      </w:rPr>
      <w:tab/>
    </w:r>
    <w:r>
      <w:rPr>
        <w:b/>
      </w:rPr>
      <w:tab/>
      <w:t xml:space="preserve"> </w:t>
    </w:r>
    <w:r w:rsidRPr="00CF2BF5">
      <w:rPr>
        <w:b/>
      </w:rPr>
      <w:t>P-ISSN 2350-7756 | E-ISSN 2350-8442</w:t>
    </w:r>
    <w:r w:rsidRPr="00277711">
      <w:rPr>
        <w:b/>
      </w:rPr>
      <w:tab/>
    </w:r>
  </w:p>
  <w:p w14:paraId="5E037AC3" w14:textId="77777777" w:rsidR="004C46B1" w:rsidRPr="00996F37" w:rsidRDefault="004C46B1" w:rsidP="004C46B1">
    <w:pPr>
      <w:pStyle w:val="Header"/>
    </w:pPr>
  </w:p>
  <w:p w14:paraId="2A76E39B" w14:textId="4A2BBCC0" w:rsidR="00D37102" w:rsidRPr="004C46B1" w:rsidRDefault="00D37102" w:rsidP="004C46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35EF6"/>
    <w:multiLevelType w:val="hybridMultilevel"/>
    <w:tmpl w:val="82EABDE6"/>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159D5430"/>
    <w:multiLevelType w:val="multilevel"/>
    <w:tmpl w:val="DF067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B7625A"/>
    <w:multiLevelType w:val="hybridMultilevel"/>
    <w:tmpl w:val="9E8E40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111F7A"/>
    <w:multiLevelType w:val="hybridMultilevel"/>
    <w:tmpl w:val="1EC4C97A"/>
    <w:lvl w:ilvl="0" w:tplc="E80CC9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1E40CB2"/>
    <w:multiLevelType w:val="hybridMultilevel"/>
    <w:tmpl w:val="EC9CD126"/>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nsid w:val="5A443A83"/>
    <w:multiLevelType w:val="hybridMultilevel"/>
    <w:tmpl w:val="DDF471C4"/>
    <w:lvl w:ilvl="0" w:tplc="0409000F">
      <w:start w:val="1"/>
      <w:numFmt w:val="decimal"/>
      <w:lvlText w:val="%1."/>
      <w:lvlJc w:val="left"/>
      <w:pPr>
        <w:ind w:left="720" w:hanging="360"/>
      </w:pPr>
      <w:rPr>
        <w:rFont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nsid w:val="5FF20324"/>
    <w:multiLevelType w:val="multilevel"/>
    <w:tmpl w:val="7958AB46"/>
    <w:lvl w:ilvl="0">
      <w:start w:val="1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7394948"/>
    <w:multiLevelType w:val="multilevel"/>
    <w:tmpl w:val="071C1F04"/>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8246B4"/>
    <w:multiLevelType w:val="hybridMultilevel"/>
    <w:tmpl w:val="30C8D2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ACA6866"/>
    <w:multiLevelType w:val="multilevel"/>
    <w:tmpl w:val="A882F72C"/>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5"/>
  </w:num>
  <w:num w:numId="5">
    <w:abstractNumId w:val="8"/>
  </w:num>
  <w:num w:numId="6">
    <w:abstractNumId w:val="2"/>
  </w:num>
  <w:num w:numId="7">
    <w:abstractNumId w:val="7"/>
  </w:num>
  <w:num w:numId="8">
    <w:abstractNumId w:val="9"/>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AFE"/>
    <w:rsid w:val="00086A3C"/>
    <w:rsid w:val="001C48DA"/>
    <w:rsid w:val="001D141E"/>
    <w:rsid w:val="001E4910"/>
    <w:rsid w:val="00213734"/>
    <w:rsid w:val="00244264"/>
    <w:rsid w:val="002455D0"/>
    <w:rsid w:val="002751C9"/>
    <w:rsid w:val="002802A7"/>
    <w:rsid w:val="002D2462"/>
    <w:rsid w:val="00322028"/>
    <w:rsid w:val="0034196F"/>
    <w:rsid w:val="003855AB"/>
    <w:rsid w:val="0048108C"/>
    <w:rsid w:val="004B54A0"/>
    <w:rsid w:val="004C46B1"/>
    <w:rsid w:val="004D6924"/>
    <w:rsid w:val="004E4DAE"/>
    <w:rsid w:val="00502051"/>
    <w:rsid w:val="00547323"/>
    <w:rsid w:val="00595A55"/>
    <w:rsid w:val="005A10E3"/>
    <w:rsid w:val="005E45A3"/>
    <w:rsid w:val="005E5C28"/>
    <w:rsid w:val="006F68F9"/>
    <w:rsid w:val="007D704E"/>
    <w:rsid w:val="007F23D9"/>
    <w:rsid w:val="00822511"/>
    <w:rsid w:val="008A4535"/>
    <w:rsid w:val="0094075F"/>
    <w:rsid w:val="00A43E34"/>
    <w:rsid w:val="00A916A2"/>
    <w:rsid w:val="00AB0DA1"/>
    <w:rsid w:val="00AB11CF"/>
    <w:rsid w:val="00AC6DF0"/>
    <w:rsid w:val="00AD673E"/>
    <w:rsid w:val="00B027A1"/>
    <w:rsid w:val="00B40A52"/>
    <w:rsid w:val="00B718AC"/>
    <w:rsid w:val="00B94447"/>
    <w:rsid w:val="00BF040E"/>
    <w:rsid w:val="00C87F3E"/>
    <w:rsid w:val="00CA22D3"/>
    <w:rsid w:val="00D37102"/>
    <w:rsid w:val="00D63F3C"/>
    <w:rsid w:val="00D9284C"/>
    <w:rsid w:val="00DF5483"/>
    <w:rsid w:val="00DF7056"/>
    <w:rsid w:val="00E33CB1"/>
    <w:rsid w:val="00E730F3"/>
    <w:rsid w:val="00E868B1"/>
    <w:rsid w:val="00EA6183"/>
    <w:rsid w:val="00EB4AA2"/>
    <w:rsid w:val="00EC6DBD"/>
    <w:rsid w:val="00F246FA"/>
    <w:rsid w:val="00F33E8F"/>
    <w:rsid w:val="00F774A5"/>
    <w:rsid w:val="00F77874"/>
    <w:rsid w:val="00F82A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ED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CB1"/>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aliases w:val="CHAPTER 1"/>
    <w:basedOn w:val="Normal"/>
    <w:next w:val="Normal"/>
    <w:link w:val="Heading1Char"/>
    <w:uiPriority w:val="9"/>
    <w:qFormat/>
    <w:rsid w:val="00F82A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82A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82A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82A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2A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2A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2A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2A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2A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1 Char"/>
    <w:basedOn w:val="DefaultParagraphFont"/>
    <w:link w:val="Heading1"/>
    <w:uiPriority w:val="9"/>
    <w:rsid w:val="00F82A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82A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2A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2A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2A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2A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2A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2A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2AFE"/>
    <w:rPr>
      <w:rFonts w:eastAsiaTheme="majorEastAsia" w:cstheme="majorBidi"/>
      <w:color w:val="272727" w:themeColor="text1" w:themeTint="D8"/>
    </w:rPr>
  </w:style>
  <w:style w:type="paragraph" w:styleId="Title">
    <w:name w:val="Title"/>
    <w:basedOn w:val="Normal"/>
    <w:next w:val="Normal"/>
    <w:link w:val="TitleChar"/>
    <w:uiPriority w:val="10"/>
    <w:qFormat/>
    <w:rsid w:val="00F82A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A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A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2A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2AFE"/>
    <w:pPr>
      <w:spacing w:before="160"/>
      <w:jc w:val="center"/>
    </w:pPr>
    <w:rPr>
      <w:i/>
      <w:iCs/>
      <w:color w:val="404040" w:themeColor="text1" w:themeTint="BF"/>
    </w:rPr>
  </w:style>
  <w:style w:type="character" w:customStyle="1" w:styleId="QuoteChar">
    <w:name w:val="Quote Char"/>
    <w:basedOn w:val="DefaultParagraphFont"/>
    <w:link w:val="Quote"/>
    <w:uiPriority w:val="29"/>
    <w:rsid w:val="00F82AFE"/>
    <w:rPr>
      <w:i/>
      <w:iCs/>
      <w:color w:val="404040" w:themeColor="text1" w:themeTint="BF"/>
    </w:rPr>
  </w:style>
  <w:style w:type="paragraph" w:styleId="ListParagraph">
    <w:name w:val="List Paragraph"/>
    <w:basedOn w:val="Normal"/>
    <w:uiPriority w:val="34"/>
    <w:qFormat/>
    <w:rsid w:val="00F82AFE"/>
    <w:pPr>
      <w:ind w:left="720"/>
      <w:contextualSpacing/>
    </w:pPr>
  </w:style>
  <w:style w:type="character" w:styleId="IntenseEmphasis">
    <w:name w:val="Intense Emphasis"/>
    <w:basedOn w:val="DefaultParagraphFont"/>
    <w:uiPriority w:val="21"/>
    <w:qFormat/>
    <w:rsid w:val="00F82AFE"/>
    <w:rPr>
      <w:i/>
      <w:iCs/>
      <w:color w:val="0F4761" w:themeColor="accent1" w:themeShade="BF"/>
    </w:rPr>
  </w:style>
  <w:style w:type="paragraph" w:styleId="IntenseQuote">
    <w:name w:val="Intense Quote"/>
    <w:basedOn w:val="Normal"/>
    <w:next w:val="Normal"/>
    <w:link w:val="IntenseQuoteChar"/>
    <w:uiPriority w:val="30"/>
    <w:qFormat/>
    <w:rsid w:val="00F82A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2AFE"/>
    <w:rPr>
      <w:i/>
      <w:iCs/>
      <w:color w:val="0F4761" w:themeColor="accent1" w:themeShade="BF"/>
    </w:rPr>
  </w:style>
  <w:style w:type="character" w:styleId="IntenseReference">
    <w:name w:val="Intense Reference"/>
    <w:basedOn w:val="DefaultParagraphFont"/>
    <w:uiPriority w:val="32"/>
    <w:qFormat/>
    <w:rsid w:val="00F82AFE"/>
    <w:rPr>
      <w:b/>
      <w:bCs/>
      <w:smallCaps/>
      <w:color w:val="0F4761" w:themeColor="accent1" w:themeShade="BF"/>
      <w:spacing w:val="5"/>
    </w:rPr>
  </w:style>
  <w:style w:type="paragraph" w:styleId="NormalWeb">
    <w:name w:val="Normal (Web)"/>
    <w:basedOn w:val="Normal"/>
    <w:uiPriority w:val="99"/>
    <w:unhideWhenUsed/>
    <w:rsid w:val="00F82AFE"/>
    <w:pPr>
      <w:spacing w:before="100" w:beforeAutospacing="1" w:after="100" w:afterAutospacing="1"/>
    </w:pPr>
  </w:style>
  <w:style w:type="character" w:styleId="Strong">
    <w:name w:val="Strong"/>
    <w:basedOn w:val="DefaultParagraphFont"/>
    <w:uiPriority w:val="22"/>
    <w:qFormat/>
    <w:rsid w:val="00F82AFE"/>
    <w:rPr>
      <w:b/>
      <w:bCs/>
    </w:rPr>
  </w:style>
  <w:style w:type="character" w:customStyle="1" w:styleId="issue-underline">
    <w:name w:val="issue-underline"/>
    <w:basedOn w:val="DefaultParagraphFont"/>
    <w:rsid w:val="00F82AFE"/>
  </w:style>
  <w:style w:type="paragraph" w:styleId="FootnoteText">
    <w:name w:val="footnote text"/>
    <w:basedOn w:val="Normal"/>
    <w:link w:val="FootnoteTextChar"/>
    <w:uiPriority w:val="99"/>
    <w:unhideWhenUsed/>
    <w:rsid w:val="00F82AFE"/>
    <w:rPr>
      <w:sz w:val="20"/>
      <w:szCs w:val="20"/>
    </w:rPr>
  </w:style>
  <w:style w:type="character" w:customStyle="1" w:styleId="FootnoteTextChar">
    <w:name w:val="Footnote Text Char"/>
    <w:basedOn w:val="DefaultParagraphFont"/>
    <w:link w:val="FootnoteText"/>
    <w:uiPriority w:val="99"/>
    <w:rsid w:val="00F82AFE"/>
    <w:rPr>
      <w:sz w:val="20"/>
      <w:szCs w:val="20"/>
    </w:rPr>
  </w:style>
  <w:style w:type="character" w:styleId="FootnoteReference">
    <w:name w:val="footnote reference"/>
    <w:basedOn w:val="DefaultParagraphFont"/>
    <w:uiPriority w:val="99"/>
    <w:unhideWhenUsed/>
    <w:rsid w:val="00F82AFE"/>
    <w:rPr>
      <w:vertAlign w:val="superscript"/>
    </w:rPr>
  </w:style>
  <w:style w:type="paragraph" w:customStyle="1" w:styleId="pb-2">
    <w:name w:val="pb-2"/>
    <w:basedOn w:val="Normal"/>
    <w:rsid w:val="00F82AFE"/>
    <w:pPr>
      <w:spacing w:before="100" w:beforeAutospacing="1" w:after="100" w:afterAutospacing="1"/>
    </w:pPr>
    <w:rPr>
      <w:lang w:eastAsia="en-IN"/>
    </w:rPr>
  </w:style>
  <w:style w:type="table" w:styleId="TableGrid">
    <w:name w:val="Table Grid"/>
    <w:basedOn w:val="TableNormal"/>
    <w:uiPriority w:val="39"/>
    <w:rsid w:val="00F778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33CB1"/>
    <w:rPr>
      <w:color w:val="0000FF"/>
      <w:u w:val="single"/>
    </w:rPr>
  </w:style>
  <w:style w:type="character" w:styleId="FollowedHyperlink">
    <w:name w:val="FollowedHyperlink"/>
    <w:basedOn w:val="DefaultParagraphFont"/>
    <w:uiPriority w:val="99"/>
    <w:semiHidden/>
    <w:unhideWhenUsed/>
    <w:rsid w:val="0034196F"/>
    <w:rPr>
      <w:color w:val="96607D" w:themeColor="followedHyperlink"/>
      <w:u w:val="single"/>
    </w:rPr>
  </w:style>
  <w:style w:type="character" w:customStyle="1" w:styleId="UnresolvedMention1">
    <w:name w:val="Unresolved Mention1"/>
    <w:basedOn w:val="DefaultParagraphFont"/>
    <w:uiPriority w:val="99"/>
    <w:semiHidden/>
    <w:unhideWhenUsed/>
    <w:rsid w:val="00A916A2"/>
    <w:rPr>
      <w:color w:val="605E5C"/>
      <w:shd w:val="clear" w:color="auto" w:fill="E1DFDD"/>
    </w:rPr>
  </w:style>
  <w:style w:type="paragraph" w:styleId="Header">
    <w:name w:val="header"/>
    <w:basedOn w:val="Normal"/>
    <w:link w:val="HeaderChar"/>
    <w:uiPriority w:val="99"/>
    <w:unhideWhenUsed/>
    <w:rsid w:val="00D37102"/>
    <w:pPr>
      <w:tabs>
        <w:tab w:val="center" w:pos="4680"/>
        <w:tab w:val="right" w:pos="9360"/>
      </w:tabs>
    </w:pPr>
  </w:style>
  <w:style w:type="character" w:customStyle="1" w:styleId="HeaderChar">
    <w:name w:val="Header Char"/>
    <w:basedOn w:val="DefaultParagraphFont"/>
    <w:link w:val="Header"/>
    <w:uiPriority w:val="99"/>
    <w:rsid w:val="00D37102"/>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D37102"/>
    <w:pPr>
      <w:tabs>
        <w:tab w:val="center" w:pos="4680"/>
        <w:tab w:val="right" w:pos="9360"/>
      </w:tabs>
    </w:pPr>
  </w:style>
  <w:style w:type="character" w:customStyle="1" w:styleId="FooterChar">
    <w:name w:val="Footer Char"/>
    <w:basedOn w:val="DefaultParagraphFont"/>
    <w:link w:val="Footer"/>
    <w:uiPriority w:val="99"/>
    <w:rsid w:val="00D37102"/>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99"/>
    <w:unhideWhenUsed/>
    <w:rsid w:val="00D37102"/>
    <w:pPr>
      <w:spacing w:after="120" w:line="259" w:lineRule="auto"/>
    </w:pPr>
    <w:rPr>
      <w:rFonts w:asciiTheme="minorHAnsi" w:eastAsiaTheme="minorHAnsi" w:hAnsiTheme="minorHAnsi" w:cstheme="minorBidi"/>
      <w:sz w:val="22"/>
      <w:szCs w:val="22"/>
      <w:lang w:val="en-US" w:eastAsia="en-US"/>
    </w:rPr>
  </w:style>
  <w:style w:type="character" w:customStyle="1" w:styleId="BodyTextChar">
    <w:name w:val="Body Text Char"/>
    <w:basedOn w:val="DefaultParagraphFont"/>
    <w:link w:val="BodyText"/>
    <w:uiPriority w:val="99"/>
    <w:rsid w:val="00D37102"/>
    <w:rPr>
      <w:kern w:val="0"/>
      <w:sz w:val="22"/>
      <w:szCs w:val="22"/>
      <w:lang w:val="en-US"/>
      <w14:ligatures w14:val="none"/>
    </w:rPr>
  </w:style>
  <w:style w:type="paragraph" w:styleId="BalloonText">
    <w:name w:val="Balloon Text"/>
    <w:basedOn w:val="Normal"/>
    <w:link w:val="BalloonTextChar"/>
    <w:uiPriority w:val="99"/>
    <w:semiHidden/>
    <w:unhideWhenUsed/>
    <w:rsid w:val="004C46B1"/>
    <w:rPr>
      <w:rFonts w:ascii="Tahoma" w:hAnsi="Tahoma" w:cs="Tahoma"/>
      <w:sz w:val="16"/>
      <w:szCs w:val="16"/>
    </w:rPr>
  </w:style>
  <w:style w:type="character" w:customStyle="1" w:styleId="BalloonTextChar">
    <w:name w:val="Balloon Text Char"/>
    <w:basedOn w:val="DefaultParagraphFont"/>
    <w:link w:val="BalloonText"/>
    <w:uiPriority w:val="99"/>
    <w:semiHidden/>
    <w:rsid w:val="004C46B1"/>
    <w:rPr>
      <w:rFonts w:ascii="Tahoma" w:eastAsia="Times New Roman" w:hAnsi="Tahoma" w:cs="Tahoma"/>
      <w:kern w:val="0"/>
      <w:sz w:val="16"/>
      <w:szCs w:val="16"/>
      <w:lang w:eastAsia="en-GB"/>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CB1"/>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aliases w:val="CHAPTER 1"/>
    <w:basedOn w:val="Normal"/>
    <w:next w:val="Normal"/>
    <w:link w:val="Heading1Char"/>
    <w:uiPriority w:val="9"/>
    <w:qFormat/>
    <w:rsid w:val="00F82A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82A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82A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82A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2A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2A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2A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2A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2A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1 Char"/>
    <w:basedOn w:val="DefaultParagraphFont"/>
    <w:link w:val="Heading1"/>
    <w:uiPriority w:val="9"/>
    <w:rsid w:val="00F82A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82A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2A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2A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2A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2A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2A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2A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2AFE"/>
    <w:rPr>
      <w:rFonts w:eastAsiaTheme="majorEastAsia" w:cstheme="majorBidi"/>
      <w:color w:val="272727" w:themeColor="text1" w:themeTint="D8"/>
    </w:rPr>
  </w:style>
  <w:style w:type="paragraph" w:styleId="Title">
    <w:name w:val="Title"/>
    <w:basedOn w:val="Normal"/>
    <w:next w:val="Normal"/>
    <w:link w:val="TitleChar"/>
    <w:uiPriority w:val="10"/>
    <w:qFormat/>
    <w:rsid w:val="00F82A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A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A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2A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2AFE"/>
    <w:pPr>
      <w:spacing w:before="160"/>
      <w:jc w:val="center"/>
    </w:pPr>
    <w:rPr>
      <w:i/>
      <w:iCs/>
      <w:color w:val="404040" w:themeColor="text1" w:themeTint="BF"/>
    </w:rPr>
  </w:style>
  <w:style w:type="character" w:customStyle="1" w:styleId="QuoteChar">
    <w:name w:val="Quote Char"/>
    <w:basedOn w:val="DefaultParagraphFont"/>
    <w:link w:val="Quote"/>
    <w:uiPriority w:val="29"/>
    <w:rsid w:val="00F82AFE"/>
    <w:rPr>
      <w:i/>
      <w:iCs/>
      <w:color w:val="404040" w:themeColor="text1" w:themeTint="BF"/>
    </w:rPr>
  </w:style>
  <w:style w:type="paragraph" w:styleId="ListParagraph">
    <w:name w:val="List Paragraph"/>
    <w:basedOn w:val="Normal"/>
    <w:uiPriority w:val="34"/>
    <w:qFormat/>
    <w:rsid w:val="00F82AFE"/>
    <w:pPr>
      <w:ind w:left="720"/>
      <w:contextualSpacing/>
    </w:pPr>
  </w:style>
  <w:style w:type="character" w:styleId="IntenseEmphasis">
    <w:name w:val="Intense Emphasis"/>
    <w:basedOn w:val="DefaultParagraphFont"/>
    <w:uiPriority w:val="21"/>
    <w:qFormat/>
    <w:rsid w:val="00F82AFE"/>
    <w:rPr>
      <w:i/>
      <w:iCs/>
      <w:color w:val="0F4761" w:themeColor="accent1" w:themeShade="BF"/>
    </w:rPr>
  </w:style>
  <w:style w:type="paragraph" w:styleId="IntenseQuote">
    <w:name w:val="Intense Quote"/>
    <w:basedOn w:val="Normal"/>
    <w:next w:val="Normal"/>
    <w:link w:val="IntenseQuoteChar"/>
    <w:uiPriority w:val="30"/>
    <w:qFormat/>
    <w:rsid w:val="00F82A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2AFE"/>
    <w:rPr>
      <w:i/>
      <w:iCs/>
      <w:color w:val="0F4761" w:themeColor="accent1" w:themeShade="BF"/>
    </w:rPr>
  </w:style>
  <w:style w:type="character" w:styleId="IntenseReference">
    <w:name w:val="Intense Reference"/>
    <w:basedOn w:val="DefaultParagraphFont"/>
    <w:uiPriority w:val="32"/>
    <w:qFormat/>
    <w:rsid w:val="00F82AFE"/>
    <w:rPr>
      <w:b/>
      <w:bCs/>
      <w:smallCaps/>
      <w:color w:val="0F4761" w:themeColor="accent1" w:themeShade="BF"/>
      <w:spacing w:val="5"/>
    </w:rPr>
  </w:style>
  <w:style w:type="paragraph" w:styleId="NormalWeb">
    <w:name w:val="Normal (Web)"/>
    <w:basedOn w:val="Normal"/>
    <w:uiPriority w:val="99"/>
    <w:unhideWhenUsed/>
    <w:rsid w:val="00F82AFE"/>
    <w:pPr>
      <w:spacing w:before="100" w:beforeAutospacing="1" w:after="100" w:afterAutospacing="1"/>
    </w:pPr>
  </w:style>
  <w:style w:type="character" w:styleId="Strong">
    <w:name w:val="Strong"/>
    <w:basedOn w:val="DefaultParagraphFont"/>
    <w:uiPriority w:val="22"/>
    <w:qFormat/>
    <w:rsid w:val="00F82AFE"/>
    <w:rPr>
      <w:b/>
      <w:bCs/>
    </w:rPr>
  </w:style>
  <w:style w:type="character" w:customStyle="1" w:styleId="issue-underline">
    <w:name w:val="issue-underline"/>
    <w:basedOn w:val="DefaultParagraphFont"/>
    <w:rsid w:val="00F82AFE"/>
  </w:style>
  <w:style w:type="paragraph" w:styleId="FootnoteText">
    <w:name w:val="footnote text"/>
    <w:basedOn w:val="Normal"/>
    <w:link w:val="FootnoteTextChar"/>
    <w:uiPriority w:val="99"/>
    <w:unhideWhenUsed/>
    <w:rsid w:val="00F82AFE"/>
    <w:rPr>
      <w:sz w:val="20"/>
      <w:szCs w:val="20"/>
    </w:rPr>
  </w:style>
  <w:style w:type="character" w:customStyle="1" w:styleId="FootnoteTextChar">
    <w:name w:val="Footnote Text Char"/>
    <w:basedOn w:val="DefaultParagraphFont"/>
    <w:link w:val="FootnoteText"/>
    <w:uiPriority w:val="99"/>
    <w:rsid w:val="00F82AFE"/>
    <w:rPr>
      <w:sz w:val="20"/>
      <w:szCs w:val="20"/>
    </w:rPr>
  </w:style>
  <w:style w:type="character" w:styleId="FootnoteReference">
    <w:name w:val="footnote reference"/>
    <w:basedOn w:val="DefaultParagraphFont"/>
    <w:uiPriority w:val="99"/>
    <w:unhideWhenUsed/>
    <w:rsid w:val="00F82AFE"/>
    <w:rPr>
      <w:vertAlign w:val="superscript"/>
    </w:rPr>
  </w:style>
  <w:style w:type="paragraph" w:customStyle="1" w:styleId="pb-2">
    <w:name w:val="pb-2"/>
    <w:basedOn w:val="Normal"/>
    <w:rsid w:val="00F82AFE"/>
    <w:pPr>
      <w:spacing w:before="100" w:beforeAutospacing="1" w:after="100" w:afterAutospacing="1"/>
    </w:pPr>
    <w:rPr>
      <w:lang w:eastAsia="en-IN"/>
    </w:rPr>
  </w:style>
  <w:style w:type="table" w:styleId="TableGrid">
    <w:name w:val="Table Grid"/>
    <w:basedOn w:val="TableNormal"/>
    <w:uiPriority w:val="39"/>
    <w:rsid w:val="00F778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33CB1"/>
    <w:rPr>
      <w:color w:val="0000FF"/>
      <w:u w:val="single"/>
    </w:rPr>
  </w:style>
  <w:style w:type="character" w:styleId="FollowedHyperlink">
    <w:name w:val="FollowedHyperlink"/>
    <w:basedOn w:val="DefaultParagraphFont"/>
    <w:uiPriority w:val="99"/>
    <w:semiHidden/>
    <w:unhideWhenUsed/>
    <w:rsid w:val="0034196F"/>
    <w:rPr>
      <w:color w:val="96607D" w:themeColor="followedHyperlink"/>
      <w:u w:val="single"/>
    </w:rPr>
  </w:style>
  <w:style w:type="character" w:customStyle="1" w:styleId="UnresolvedMention1">
    <w:name w:val="Unresolved Mention1"/>
    <w:basedOn w:val="DefaultParagraphFont"/>
    <w:uiPriority w:val="99"/>
    <w:semiHidden/>
    <w:unhideWhenUsed/>
    <w:rsid w:val="00A916A2"/>
    <w:rPr>
      <w:color w:val="605E5C"/>
      <w:shd w:val="clear" w:color="auto" w:fill="E1DFDD"/>
    </w:rPr>
  </w:style>
  <w:style w:type="paragraph" w:styleId="Header">
    <w:name w:val="header"/>
    <w:basedOn w:val="Normal"/>
    <w:link w:val="HeaderChar"/>
    <w:uiPriority w:val="99"/>
    <w:unhideWhenUsed/>
    <w:rsid w:val="00D37102"/>
    <w:pPr>
      <w:tabs>
        <w:tab w:val="center" w:pos="4680"/>
        <w:tab w:val="right" w:pos="9360"/>
      </w:tabs>
    </w:pPr>
  </w:style>
  <w:style w:type="character" w:customStyle="1" w:styleId="HeaderChar">
    <w:name w:val="Header Char"/>
    <w:basedOn w:val="DefaultParagraphFont"/>
    <w:link w:val="Header"/>
    <w:uiPriority w:val="99"/>
    <w:rsid w:val="00D37102"/>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D37102"/>
    <w:pPr>
      <w:tabs>
        <w:tab w:val="center" w:pos="4680"/>
        <w:tab w:val="right" w:pos="9360"/>
      </w:tabs>
    </w:pPr>
  </w:style>
  <w:style w:type="character" w:customStyle="1" w:styleId="FooterChar">
    <w:name w:val="Footer Char"/>
    <w:basedOn w:val="DefaultParagraphFont"/>
    <w:link w:val="Footer"/>
    <w:uiPriority w:val="99"/>
    <w:rsid w:val="00D37102"/>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99"/>
    <w:unhideWhenUsed/>
    <w:rsid w:val="00D37102"/>
    <w:pPr>
      <w:spacing w:after="120" w:line="259" w:lineRule="auto"/>
    </w:pPr>
    <w:rPr>
      <w:rFonts w:asciiTheme="minorHAnsi" w:eastAsiaTheme="minorHAnsi" w:hAnsiTheme="minorHAnsi" w:cstheme="minorBidi"/>
      <w:sz w:val="22"/>
      <w:szCs w:val="22"/>
      <w:lang w:val="en-US" w:eastAsia="en-US"/>
    </w:rPr>
  </w:style>
  <w:style w:type="character" w:customStyle="1" w:styleId="BodyTextChar">
    <w:name w:val="Body Text Char"/>
    <w:basedOn w:val="DefaultParagraphFont"/>
    <w:link w:val="BodyText"/>
    <w:uiPriority w:val="99"/>
    <w:rsid w:val="00D37102"/>
    <w:rPr>
      <w:kern w:val="0"/>
      <w:sz w:val="22"/>
      <w:szCs w:val="22"/>
      <w:lang w:val="en-US"/>
      <w14:ligatures w14:val="none"/>
    </w:rPr>
  </w:style>
  <w:style w:type="paragraph" w:styleId="BalloonText">
    <w:name w:val="Balloon Text"/>
    <w:basedOn w:val="Normal"/>
    <w:link w:val="BalloonTextChar"/>
    <w:uiPriority w:val="99"/>
    <w:semiHidden/>
    <w:unhideWhenUsed/>
    <w:rsid w:val="004C46B1"/>
    <w:rPr>
      <w:rFonts w:ascii="Tahoma" w:hAnsi="Tahoma" w:cs="Tahoma"/>
      <w:sz w:val="16"/>
      <w:szCs w:val="16"/>
    </w:rPr>
  </w:style>
  <w:style w:type="character" w:customStyle="1" w:styleId="BalloonTextChar">
    <w:name w:val="Balloon Text Char"/>
    <w:basedOn w:val="DefaultParagraphFont"/>
    <w:link w:val="BalloonText"/>
    <w:uiPriority w:val="99"/>
    <w:semiHidden/>
    <w:rsid w:val="004C46B1"/>
    <w:rPr>
      <w:rFonts w:ascii="Tahoma" w:eastAsia="Times New Roman" w:hAnsi="Tahoma" w:cs="Tahoma"/>
      <w:kern w:val="0"/>
      <w:sz w:val="16"/>
      <w:szCs w:val="1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423430">
      <w:bodyDiv w:val="1"/>
      <w:marLeft w:val="0"/>
      <w:marRight w:val="0"/>
      <w:marTop w:val="0"/>
      <w:marBottom w:val="0"/>
      <w:divBdr>
        <w:top w:val="none" w:sz="0" w:space="0" w:color="auto"/>
        <w:left w:val="none" w:sz="0" w:space="0" w:color="auto"/>
        <w:bottom w:val="none" w:sz="0" w:space="0" w:color="auto"/>
        <w:right w:val="none" w:sz="0" w:space="0" w:color="auto"/>
      </w:divBdr>
      <w:divsChild>
        <w:div w:id="26806856">
          <w:marLeft w:val="0"/>
          <w:marRight w:val="0"/>
          <w:marTop w:val="0"/>
          <w:marBottom w:val="0"/>
          <w:divBdr>
            <w:top w:val="none" w:sz="0" w:space="0" w:color="auto"/>
            <w:left w:val="none" w:sz="0" w:space="0" w:color="auto"/>
            <w:bottom w:val="none" w:sz="0" w:space="0" w:color="auto"/>
            <w:right w:val="none" w:sz="0" w:space="0" w:color="auto"/>
          </w:divBdr>
          <w:divsChild>
            <w:div w:id="1573151150">
              <w:marLeft w:val="0"/>
              <w:marRight w:val="0"/>
              <w:marTop w:val="0"/>
              <w:marBottom w:val="0"/>
              <w:divBdr>
                <w:top w:val="none" w:sz="0" w:space="0" w:color="auto"/>
                <w:left w:val="none" w:sz="0" w:space="0" w:color="auto"/>
                <w:bottom w:val="none" w:sz="0" w:space="0" w:color="auto"/>
                <w:right w:val="none" w:sz="0" w:space="0" w:color="auto"/>
              </w:divBdr>
              <w:divsChild>
                <w:div w:id="166258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89855">
      <w:bodyDiv w:val="1"/>
      <w:marLeft w:val="0"/>
      <w:marRight w:val="0"/>
      <w:marTop w:val="0"/>
      <w:marBottom w:val="0"/>
      <w:divBdr>
        <w:top w:val="none" w:sz="0" w:space="0" w:color="auto"/>
        <w:left w:val="none" w:sz="0" w:space="0" w:color="auto"/>
        <w:bottom w:val="none" w:sz="0" w:space="0" w:color="auto"/>
        <w:right w:val="none" w:sz="0" w:space="0" w:color="auto"/>
      </w:divBdr>
      <w:divsChild>
        <w:div w:id="1447969610">
          <w:marLeft w:val="0"/>
          <w:marRight w:val="0"/>
          <w:marTop w:val="0"/>
          <w:marBottom w:val="0"/>
          <w:divBdr>
            <w:top w:val="none" w:sz="0" w:space="0" w:color="auto"/>
            <w:left w:val="none" w:sz="0" w:space="0" w:color="auto"/>
            <w:bottom w:val="none" w:sz="0" w:space="0" w:color="auto"/>
            <w:right w:val="none" w:sz="0" w:space="0" w:color="auto"/>
          </w:divBdr>
          <w:divsChild>
            <w:div w:id="548419557">
              <w:marLeft w:val="0"/>
              <w:marRight w:val="0"/>
              <w:marTop w:val="0"/>
              <w:marBottom w:val="0"/>
              <w:divBdr>
                <w:top w:val="none" w:sz="0" w:space="0" w:color="auto"/>
                <w:left w:val="none" w:sz="0" w:space="0" w:color="auto"/>
                <w:bottom w:val="none" w:sz="0" w:space="0" w:color="auto"/>
                <w:right w:val="none" w:sz="0" w:space="0" w:color="auto"/>
              </w:divBdr>
              <w:divsChild>
                <w:div w:id="141389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66032">
      <w:bodyDiv w:val="1"/>
      <w:marLeft w:val="0"/>
      <w:marRight w:val="0"/>
      <w:marTop w:val="0"/>
      <w:marBottom w:val="0"/>
      <w:divBdr>
        <w:top w:val="none" w:sz="0" w:space="0" w:color="auto"/>
        <w:left w:val="none" w:sz="0" w:space="0" w:color="auto"/>
        <w:bottom w:val="none" w:sz="0" w:space="0" w:color="auto"/>
        <w:right w:val="none" w:sz="0" w:space="0" w:color="auto"/>
      </w:divBdr>
      <w:divsChild>
        <w:div w:id="1131826128">
          <w:marLeft w:val="0"/>
          <w:marRight w:val="0"/>
          <w:marTop w:val="0"/>
          <w:marBottom w:val="0"/>
          <w:divBdr>
            <w:top w:val="none" w:sz="0" w:space="0" w:color="auto"/>
            <w:left w:val="none" w:sz="0" w:space="0" w:color="auto"/>
            <w:bottom w:val="none" w:sz="0" w:space="0" w:color="auto"/>
            <w:right w:val="none" w:sz="0" w:space="0" w:color="auto"/>
          </w:divBdr>
          <w:divsChild>
            <w:div w:id="1401753459">
              <w:marLeft w:val="0"/>
              <w:marRight w:val="0"/>
              <w:marTop w:val="0"/>
              <w:marBottom w:val="0"/>
              <w:divBdr>
                <w:top w:val="none" w:sz="0" w:space="0" w:color="auto"/>
                <w:left w:val="none" w:sz="0" w:space="0" w:color="auto"/>
                <w:bottom w:val="none" w:sz="0" w:space="0" w:color="auto"/>
                <w:right w:val="none" w:sz="0" w:space="0" w:color="auto"/>
              </w:divBdr>
              <w:divsChild>
                <w:div w:id="93566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048548">
      <w:bodyDiv w:val="1"/>
      <w:marLeft w:val="0"/>
      <w:marRight w:val="0"/>
      <w:marTop w:val="0"/>
      <w:marBottom w:val="0"/>
      <w:divBdr>
        <w:top w:val="none" w:sz="0" w:space="0" w:color="auto"/>
        <w:left w:val="none" w:sz="0" w:space="0" w:color="auto"/>
        <w:bottom w:val="none" w:sz="0" w:space="0" w:color="auto"/>
        <w:right w:val="none" w:sz="0" w:space="0" w:color="auto"/>
      </w:divBdr>
      <w:divsChild>
        <w:div w:id="791903214">
          <w:marLeft w:val="0"/>
          <w:marRight w:val="0"/>
          <w:marTop w:val="0"/>
          <w:marBottom w:val="0"/>
          <w:divBdr>
            <w:top w:val="none" w:sz="0" w:space="0" w:color="auto"/>
            <w:left w:val="none" w:sz="0" w:space="0" w:color="auto"/>
            <w:bottom w:val="none" w:sz="0" w:space="0" w:color="auto"/>
            <w:right w:val="none" w:sz="0" w:space="0" w:color="auto"/>
          </w:divBdr>
          <w:divsChild>
            <w:div w:id="808478248">
              <w:marLeft w:val="0"/>
              <w:marRight w:val="0"/>
              <w:marTop w:val="0"/>
              <w:marBottom w:val="0"/>
              <w:divBdr>
                <w:top w:val="none" w:sz="0" w:space="0" w:color="auto"/>
                <w:left w:val="none" w:sz="0" w:space="0" w:color="auto"/>
                <w:bottom w:val="none" w:sz="0" w:space="0" w:color="auto"/>
                <w:right w:val="none" w:sz="0" w:space="0" w:color="auto"/>
              </w:divBdr>
              <w:divsChild>
                <w:div w:id="92225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683891">
      <w:bodyDiv w:val="1"/>
      <w:marLeft w:val="0"/>
      <w:marRight w:val="0"/>
      <w:marTop w:val="0"/>
      <w:marBottom w:val="0"/>
      <w:divBdr>
        <w:top w:val="none" w:sz="0" w:space="0" w:color="auto"/>
        <w:left w:val="none" w:sz="0" w:space="0" w:color="auto"/>
        <w:bottom w:val="none" w:sz="0" w:space="0" w:color="auto"/>
        <w:right w:val="none" w:sz="0" w:space="0" w:color="auto"/>
      </w:divBdr>
      <w:divsChild>
        <w:div w:id="459346125">
          <w:marLeft w:val="0"/>
          <w:marRight w:val="0"/>
          <w:marTop w:val="0"/>
          <w:marBottom w:val="0"/>
          <w:divBdr>
            <w:top w:val="none" w:sz="0" w:space="0" w:color="auto"/>
            <w:left w:val="none" w:sz="0" w:space="0" w:color="auto"/>
            <w:bottom w:val="none" w:sz="0" w:space="0" w:color="auto"/>
            <w:right w:val="none" w:sz="0" w:space="0" w:color="auto"/>
          </w:divBdr>
          <w:divsChild>
            <w:div w:id="990913439">
              <w:marLeft w:val="0"/>
              <w:marRight w:val="0"/>
              <w:marTop w:val="0"/>
              <w:marBottom w:val="0"/>
              <w:divBdr>
                <w:top w:val="none" w:sz="0" w:space="0" w:color="auto"/>
                <w:left w:val="none" w:sz="0" w:space="0" w:color="auto"/>
                <w:bottom w:val="none" w:sz="0" w:space="0" w:color="auto"/>
                <w:right w:val="none" w:sz="0" w:space="0" w:color="auto"/>
              </w:divBdr>
              <w:divsChild>
                <w:div w:id="71631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805750">
      <w:bodyDiv w:val="1"/>
      <w:marLeft w:val="0"/>
      <w:marRight w:val="0"/>
      <w:marTop w:val="0"/>
      <w:marBottom w:val="0"/>
      <w:divBdr>
        <w:top w:val="none" w:sz="0" w:space="0" w:color="auto"/>
        <w:left w:val="none" w:sz="0" w:space="0" w:color="auto"/>
        <w:bottom w:val="none" w:sz="0" w:space="0" w:color="auto"/>
        <w:right w:val="none" w:sz="0" w:space="0" w:color="auto"/>
      </w:divBdr>
      <w:divsChild>
        <w:div w:id="655185436">
          <w:marLeft w:val="0"/>
          <w:marRight w:val="0"/>
          <w:marTop w:val="0"/>
          <w:marBottom w:val="0"/>
          <w:divBdr>
            <w:top w:val="none" w:sz="0" w:space="0" w:color="auto"/>
            <w:left w:val="none" w:sz="0" w:space="0" w:color="auto"/>
            <w:bottom w:val="none" w:sz="0" w:space="0" w:color="auto"/>
            <w:right w:val="none" w:sz="0" w:space="0" w:color="auto"/>
          </w:divBdr>
          <w:divsChild>
            <w:div w:id="1018892697">
              <w:marLeft w:val="0"/>
              <w:marRight w:val="0"/>
              <w:marTop w:val="0"/>
              <w:marBottom w:val="0"/>
              <w:divBdr>
                <w:top w:val="none" w:sz="0" w:space="0" w:color="auto"/>
                <w:left w:val="none" w:sz="0" w:space="0" w:color="auto"/>
                <w:bottom w:val="none" w:sz="0" w:space="0" w:color="auto"/>
                <w:right w:val="none" w:sz="0" w:space="0" w:color="auto"/>
              </w:divBdr>
              <w:divsChild>
                <w:div w:id="144723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040359">
      <w:bodyDiv w:val="1"/>
      <w:marLeft w:val="0"/>
      <w:marRight w:val="0"/>
      <w:marTop w:val="0"/>
      <w:marBottom w:val="0"/>
      <w:divBdr>
        <w:top w:val="none" w:sz="0" w:space="0" w:color="auto"/>
        <w:left w:val="none" w:sz="0" w:space="0" w:color="auto"/>
        <w:bottom w:val="none" w:sz="0" w:space="0" w:color="auto"/>
        <w:right w:val="none" w:sz="0" w:space="0" w:color="auto"/>
      </w:divBdr>
    </w:div>
    <w:div w:id="710495251">
      <w:bodyDiv w:val="1"/>
      <w:marLeft w:val="0"/>
      <w:marRight w:val="0"/>
      <w:marTop w:val="0"/>
      <w:marBottom w:val="0"/>
      <w:divBdr>
        <w:top w:val="none" w:sz="0" w:space="0" w:color="auto"/>
        <w:left w:val="none" w:sz="0" w:space="0" w:color="auto"/>
        <w:bottom w:val="none" w:sz="0" w:space="0" w:color="auto"/>
        <w:right w:val="none" w:sz="0" w:space="0" w:color="auto"/>
      </w:divBdr>
    </w:div>
    <w:div w:id="721563901">
      <w:bodyDiv w:val="1"/>
      <w:marLeft w:val="0"/>
      <w:marRight w:val="0"/>
      <w:marTop w:val="0"/>
      <w:marBottom w:val="0"/>
      <w:divBdr>
        <w:top w:val="none" w:sz="0" w:space="0" w:color="auto"/>
        <w:left w:val="none" w:sz="0" w:space="0" w:color="auto"/>
        <w:bottom w:val="none" w:sz="0" w:space="0" w:color="auto"/>
        <w:right w:val="none" w:sz="0" w:space="0" w:color="auto"/>
      </w:divBdr>
      <w:divsChild>
        <w:div w:id="902256327">
          <w:marLeft w:val="0"/>
          <w:marRight w:val="0"/>
          <w:marTop w:val="0"/>
          <w:marBottom w:val="0"/>
          <w:divBdr>
            <w:top w:val="none" w:sz="0" w:space="0" w:color="auto"/>
            <w:left w:val="none" w:sz="0" w:space="0" w:color="auto"/>
            <w:bottom w:val="none" w:sz="0" w:space="0" w:color="auto"/>
            <w:right w:val="none" w:sz="0" w:space="0" w:color="auto"/>
          </w:divBdr>
          <w:divsChild>
            <w:div w:id="1519929173">
              <w:marLeft w:val="0"/>
              <w:marRight w:val="0"/>
              <w:marTop w:val="0"/>
              <w:marBottom w:val="0"/>
              <w:divBdr>
                <w:top w:val="none" w:sz="0" w:space="0" w:color="auto"/>
                <w:left w:val="none" w:sz="0" w:space="0" w:color="auto"/>
                <w:bottom w:val="none" w:sz="0" w:space="0" w:color="auto"/>
                <w:right w:val="none" w:sz="0" w:space="0" w:color="auto"/>
              </w:divBdr>
              <w:divsChild>
                <w:div w:id="2432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303242">
      <w:bodyDiv w:val="1"/>
      <w:marLeft w:val="0"/>
      <w:marRight w:val="0"/>
      <w:marTop w:val="0"/>
      <w:marBottom w:val="0"/>
      <w:divBdr>
        <w:top w:val="none" w:sz="0" w:space="0" w:color="auto"/>
        <w:left w:val="none" w:sz="0" w:space="0" w:color="auto"/>
        <w:bottom w:val="none" w:sz="0" w:space="0" w:color="auto"/>
        <w:right w:val="none" w:sz="0" w:space="0" w:color="auto"/>
      </w:divBdr>
      <w:divsChild>
        <w:div w:id="534855099">
          <w:marLeft w:val="0"/>
          <w:marRight w:val="0"/>
          <w:marTop w:val="0"/>
          <w:marBottom w:val="0"/>
          <w:divBdr>
            <w:top w:val="none" w:sz="0" w:space="0" w:color="auto"/>
            <w:left w:val="none" w:sz="0" w:space="0" w:color="auto"/>
            <w:bottom w:val="none" w:sz="0" w:space="0" w:color="auto"/>
            <w:right w:val="none" w:sz="0" w:space="0" w:color="auto"/>
          </w:divBdr>
          <w:divsChild>
            <w:div w:id="840855821">
              <w:marLeft w:val="0"/>
              <w:marRight w:val="0"/>
              <w:marTop w:val="0"/>
              <w:marBottom w:val="0"/>
              <w:divBdr>
                <w:top w:val="none" w:sz="0" w:space="0" w:color="auto"/>
                <w:left w:val="none" w:sz="0" w:space="0" w:color="auto"/>
                <w:bottom w:val="none" w:sz="0" w:space="0" w:color="auto"/>
                <w:right w:val="none" w:sz="0" w:space="0" w:color="auto"/>
              </w:divBdr>
              <w:divsChild>
                <w:div w:id="18286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979100">
      <w:bodyDiv w:val="1"/>
      <w:marLeft w:val="0"/>
      <w:marRight w:val="0"/>
      <w:marTop w:val="0"/>
      <w:marBottom w:val="0"/>
      <w:divBdr>
        <w:top w:val="none" w:sz="0" w:space="0" w:color="auto"/>
        <w:left w:val="none" w:sz="0" w:space="0" w:color="auto"/>
        <w:bottom w:val="none" w:sz="0" w:space="0" w:color="auto"/>
        <w:right w:val="none" w:sz="0" w:space="0" w:color="auto"/>
      </w:divBdr>
      <w:divsChild>
        <w:div w:id="534078442">
          <w:marLeft w:val="0"/>
          <w:marRight w:val="0"/>
          <w:marTop w:val="0"/>
          <w:marBottom w:val="0"/>
          <w:divBdr>
            <w:top w:val="none" w:sz="0" w:space="0" w:color="auto"/>
            <w:left w:val="none" w:sz="0" w:space="0" w:color="auto"/>
            <w:bottom w:val="none" w:sz="0" w:space="0" w:color="auto"/>
            <w:right w:val="none" w:sz="0" w:space="0" w:color="auto"/>
          </w:divBdr>
          <w:divsChild>
            <w:div w:id="1342506926">
              <w:marLeft w:val="0"/>
              <w:marRight w:val="0"/>
              <w:marTop w:val="0"/>
              <w:marBottom w:val="0"/>
              <w:divBdr>
                <w:top w:val="none" w:sz="0" w:space="0" w:color="auto"/>
                <w:left w:val="none" w:sz="0" w:space="0" w:color="auto"/>
                <w:bottom w:val="none" w:sz="0" w:space="0" w:color="auto"/>
                <w:right w:val="none" w:sz="0" w:space="0" w:color="auto"/>
              </w:divBdr>
              <w:divsChild>
                <w:div w:id="30050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754691">
      <w:bodyDiv w:val="1"/>
      <w:marLeft w:val="0"/>
      <w:marRight w:val="0"/>
      <w:marTop w:val="0"/>
      <w:marBottom w:val="0"/>
      <w:divBdr>
        <w:top w:val="none" w:sz="0" w:space="0" w:color="auto"/>
        <w:left w:val="none" w:sz="0" w:space="0" w:color="auto"/>
        <w:bottom w:val="none" w:sz="0" w:space="0" w:color="auto"/>
        <w:right w:val="none" w:sz="0" w:space="0" w:color="auto"/>
      </w:divBdr>
      <w:divsChild>
        <w:div w:id="1319385574">
          <w:marLeft w:val="0"/>
          <w:marRight w:val="0"/>
          <w:marTop w:val="0"/>
          <w:marBottom w:val="0"/>
          <w:divBdr>
            <w:top w:val="none" w:sz="0" w:space="0" w:color="auto"/>
            <w:left w:val="none" w:sz="0" w:space="0" w:color="auto"/>
            <w:bottom w:val="none" w:sz="0" w:space="0" w:color="auto"/>
            <w:right w:val="none" w:sz="0" w:space="0" w:color="auto"/>
          </w:divBdr>
          <w:divsChild>
            <w:div w:id="208347550">
              <w:marLeft w:val="0"/>
              <w:marRight w:val="0"/>
              <w:marTop w:val="0"/>
              <w:marBottom w:val="0"/>
              <w:divBdr>
                <w:top w:val="none" w:sz="0" w:space="0" w:color="auto"/>
                <w:left w:val="none" w:sz="0" w:space="0" w:color="auto"/>
                <w:bottom w:val="none" w:sz="0" w:space="0" w:color="auto"/>
                <w:right w:val="none" w:sz="0" w:space="0" w:color="auto"/>
              </w:divBdr>
              <w:divsChild>
                <w:div w:id="112558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484273">
      <w:bodyDiv w:val="1"/>
      <w:marLeft w:val="0"/>
      <w:marRight w:val="0"/>
      <w:marTop w:val="0"/>
      <w:marBottom w:val="0"/>
      <w:divBdr>
        <w:top w:val="none" w:sz="0" w:space="0" w:color="auto"/>
        <w:left w:val="none" w:sz="0" w:space="0" w:color="auto"/>
        <w:bottom w:val="none" w:sz="0" w:space="0" w:color="auto"/>
        <w:right w:val="none" w:sz="0" w:space="0" w:color="auto"/>
      </w:divBdr>
      <w:divsChild>
        <w:div w:id="521554514">
          <w:marLeft w:val="0"/>
          <w:marRight w:val="0"/>
          <w:marTop w:val="0"/>
          <w:marBottom w:val="0"/>
          <w:divBdr>
            <w:top w:val="none" w:sz="0" w:space="0" w:color="auto"/>
            <w:left w:val="none" w:sz="0" w:space="0" w:color="auto"/>
            <w:bottom w:val="none" w:sz="0" w:space="0" w:color="auto"/>
            <w:right w:val="none" w:sz="0" w:space="0" w:color="auto"/>
          </w:divBdr>
          <w:divsChild>
            <w:div w:id="656883734">
              <w:marLeft w:val="0"/>
              <w:marRight w:val="0"/>
              <w:marTop w:val="0"/>
              <w:marBottom w:val="0"/>
              <w:divBdr>
                <w:top w:val="none" w:sz="0" w:space="0" w:color="auto"/>
                <w:left w:val="none" w:sz="0" w:space="0" w:color="auto"/>
                <w:bottom w:val="none" w:sz="0" w:space="0" w:color="auto"/>
                <w:right w:val="none" w:sz="0" w:space="0" w:color="auto"/>
              </w:divBdr>
              <w:divsChild>
                <w:div w:id="13522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420081">
      <w:bodyDiv w:val="1"/>
      <w:marLeft w:val="0"/>
      <w:marRight w:val="0"/>
      <w:marTop w:val="0"/>
      <w:marBottom w:val="0"/>
      <w:divBdr>
        <w:top w:val="none" w:sz="0" w:space="0" w:color="auto"/>
        <w:left w:val="none" w:sz="0" w:space="0" w:color="auto"/>
        <w:bottom w:val="none" w:sz="0" w:space="0" w:color="auto"/>
        <w:right w:val="none" w:sz="0" w:space="0" w:color="auto"/>
      </w:divBdr>
      <w:divsChild>
        <w:div w:id="303196246">
          <w:marLeft w:val="0"/>
          <w:marRight w:val="0"/>
          <w:marTop w:val="0"/>
          <w:marBottom w:val="0"/>
          <w:divBdr>
            <w:top w:val="none" w:sz="0" w:space="0" w:color="auto"/>
            <w:left w:val="none" w:sz="0" w:space="0" w:color="auto"/>
            <w:bottom w:val="none" w:sz="0" w:space="0" w:color="auto"/>
            <w:right w:val="none" w:sz="0" w:space="0" w:color="auto"/>
          </w:divBdr>
          <w:divsChild>
            <w:div w:id="418908986">
              <w:marLeft w:val="0"/>
              <w:marRight w:val="0"/>
              <w:marTop w:val="0"/>
              <w:marBottom w:val="0"/>
              <w:divBdr>
                <w:top w:val="none" w:sz="0" w:space="0" w:color="auto"/>
                <w:left w:val="none" w:sz="0" w:space="0" w:color="auto"/>
                <w:bottom w:val="none" w:sz="0" w:space="0" w:color="auto"/>
                <w:right w:val="none" w:sz="0" w:space="0" w:color="auto"/>
              </w:divBdr>
              <w:divsChild>
                <w:div w:id="1748763942">
                  <w:marLeft w:val="0"/>
                  <w:marRight w:val="0"/>
                  <w:marTop w:val="0"/>
                  <w:marBottom w:val="0"/>
                  <w:divBdr>
                    <w:top w:val="none" w:sz="0" w:space="0" w:color="auto"/>
                    <w:left w:val="none" w:sz="0" w:space="0" w:color="auto"/>
                    <w:bottom w:val="none" w:sz="0" w:space="0" w:color="auto"/>
                    <w:right w:val="none" w:sz="0" w:space="0" w:color="auto"/>
                  </w:divBdr>
                </w:div>
                <w:div w:id="152841950">
                  <w:marLeft w:val="0"/>
                  <w:marRight w:val="0"/>
                  <w:marTop w:val="0"/>
                  <w:marBottom w:val="0"/>
                  <w:divBdr>
                    <w:top w:val="none" w:sz="0" w:space="0" w:color="auto"/>
                    <w:left w:val="none" w:sz="0" w:space="0" w:color="auto"/>
                    <w:bottom w:val="none" w:sz="0" w:space="0" w:color="auto"/>
                    <w:right w:val="none" w:sz="0" w:space="0" w:color="auto"/>
                  </w:divBdr>
                </w:div>
              </w:divsChild>
            </w:div>
            <w:div w:id="1196384543">
              <w:marLeft w:val="0"/>
              <w:marRight w:val="0"/>
              <w:marTop w:val="0"/>
              <w:marBottom w:val="0"/>
              <w:divBdr>
                <w:top w:val="none" w:sz="0" w:space="0" w:color="auto"/>
                <w:left w:val="none" w:sz="0" w:space="0" w:color="auto"/>
                <w:bottom w:val="none" w:sz="0" w:space="0" w:color="auto"/>
                <w:right w:val="none" w:sz="0" w:space="0" w:color="auto"/>
              </w:divBdr>
              <w:divsChild>
                <w:div w:id="1306155072">
                  <w:marLeft w:val="0"/>
                  <w:marRight w:val="0"/>
                  <w:marTop w:val="0"/>
                  <w:marBottom w:val="0"/>
                  <w:divBdr>
                    <w:top w:val="none" w:sz="0" w:space="0" w:color="auto"/>
                    <w:left w:val="none" w:sz="0" w:space="0" w:color="auto"/>
                    <w:bottom w:val="none" w:sz="0" w:space="0" w:color="auto"/>
                    <w:right w:val="none" w:sz="0" w:space="0" w:color="auto"/>
                  </w:divBdr>
                </w:div>
                <w:div w:id="104251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463702">
      <w:bodyDiv w:val="1"/>
      <w:marLeft w:val="0"/>
      <w:marRight w:val="0"/>
      <w:marTop w:val="0"/>
      <w:marBottom w:val="0"/>
      <w:divBdr>
        <w:top w:val="none" w:sz="0" w:space="0" w:color="auto"/>
        <w:left w:val="none" w:sz="0" w:space="0" w:color="auto"/>
        <w:bottom w:val="none" w:sz="0" w:space="0" w:color="auto"/>
        <w:right w:val="none" w:sz="0" w:space="0" w:color="auto"/>
      </w:divBdr>
      <w:divsChild>
        <w:div w:id="889655115">
          <w:marLeft w:val="0"/>
          <w:marRight w:val="0"/>
          <w:marTop w:val="0"/>
          <w:marBottom w:val="0"/>
          <w:divBdr>
            <w:top w:val="none" w:sz="0" w:space="0" w:color="auto"/>
            <w:left w:val="none" w:sz="0" w:space="0" w:color="auto"/>
            <w:bottom w:val="none" w:sz="0" w:space="0" w:color="auto"/>
            <w:right w:val="none" w:sz="0" w:space="0" w:color="auto"/>
          </w:divBdr>
          <w:divsChild>
            <w:div w:id="59716923">
              <w:marLeft w:val="0"/>
              <w:marRight w:val="0"/>
              <w:marTop w:val="0"/>
              <w:marBottom w:val="0"/>
              <w:divBdr>
                <w:top w:val="none" w:sz="0" w:space="0" w:color="auto"/>
                <w:left w:val="none" w:sz="0" w:space="0" w:color="auto"/>
                <w:bottom w:val="none" w:sz="0" w:space="0" w:color="auto"/>
                <w:right w:val="none" w:sz="0" w:space="0" w:color="auto"/>
              </w:divBdr>
              <w:divsChild>
                <w:div w:id="103083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580142">
      <w:bodyDiv w:val="1"/>
      <w:marLeft w:val="0"/>
      <w:marRight w:val="0"/>
      <w:marTop w:val="0"/>
      <w:marBottom w:val="0"/>
      <w:divBdr>
        <w:top w:val="none" w:sz="0" w:space="0" w:color="auto"/>
        <w:left w:val="none" w:sz="0" w:space="0" w:color="auto"/>
        <w:bottom w:val="none" w:sz="0" w:space="0" w:color="auto"/>
        <w:right w:val="none" w:sz="0" w:space="0" w:color="auto"/>
      </w:divBdr>
      <w:divsChild>
        <w:div w:id="1433278698">
          <w:marLeft w:val="0"/>
          <w:marRight w:val="0"/>
          <w:marTop w:val="0"/>
          <w:marBottom w:val="0"/>
          <w:divBdr>
            <w:top w:val="none" w:sz="0" w:space="0" w:color="auto"/>
            <w:left w:val="none" w:sz="0" w:space="0" w:color="auto"/>
            <w:bottom w:val="none" w:sz="0" w:space="0" w:color="auto"/>
            <w:right w:val="none" w:sz="0" w:space="0" w:color="auto"/>
          </w:divBdr>
          <w:divsChild>
            <w:div w:id="1689406365">
              <w:marLeft w:val="0"/>
              <w:marRight w:val="0"/>
              <w:marTop w:val="0"/>
              <w:marBottom w:val="0"/>
              <w:divBdr>
                <w:top w:val="none" w:sz="0" w:space="0" w:color="auto"/>
                <w:left w:val="none" w:sz="0" w:space="0" w:color="auto"/>
                <w:bottom w:val="none" w:sz="0" w:space="0" w:color="auto"/>
                <w:right w:val="none" w:sz="0" w:space="0" w:color="auto"/>
              </w:divBdr>
              <w:divsChild>
                <w:div w:id="213602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428111">
      <w:bodyDiv w:val="1"/>
      <w:marLeft w:val="0"/>
      <w:marRight w:val="0"/>
      <w:marTop w:val="0"/>
      <w:marBottom w:val="0"/>
      <w:divBdr>
        <w:top w:val="none" w:sz="0" w:space="0" w:color="auto"/>
        <w:left w:val="none" w:sz="0" w:space="0" w:color="auto"/>
        <w:bottom w:val="none" w:sz="0" w:space="0" w:color="auto"/>
        <w:right w:val="none" w:sz="0" w:space="0" w:color="auto"/>
      </w:divBdr>
      <w:divsChild>
        <w:div w:id="140199519">
          <w:marLeft w:val="0"/>
          <w:marRight w:val="0"/>
          <w:marTop w:val="0"/>
          <w:marBottom w:val="0"/>
          <w:divBdr>
            <w:top w:val="none" w:sz="0" w:space="0" w:color="auto"/>
            <w:left w:val="none" w:sz="0" w:space="0" w:color="auto"/>
            <w:bottom w:val="none" w:sz="0" w:space="0" w:color="auto"/>
            <w:right w:val="none" w:sz="0" w:space="0" w:color="auto"/>
          </w:divBdr>
          <w:divsChild>
            <w:div w:id="1006051851">
              <w:marLeft w:val="0"/>
              <w:marRight w:val="0"/>
              <w:marTop w:val="0"/>
              <w:marBottom w:val="0"/>
              <w:divBdr>
                <w:top w:val="none" w:sz="0" w:space="0" w:color="auto"/>
                <w:left w:val="none" w:sz="0" w:space="0" w:color="auto"/>
                <w:bottom w:val="none" w:sz="0" w:space="0" w:color="auto"/>
                <w:right w:val="none" w:sz="0" w:space="0" w:color="auto"/>
              </w:divBdr>
              <w:divsChild>
                <w:div w:id="5879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92732">
      <w:bodyDiv w:val="1"/>
      <w:marLeft w:val="0"/>
      <w:marRight w:val="0"/>
      <w:marTop w:val="0"/>
      <w:marBottom w:val="0"/>
      <w:divBdr>
        <w:top w:val="none" w:sz="0" w:space="0" w:color="auto"/>
        <w:left w:val="none" w:sz="0" w:space="0" w:color="auto"/>
        <w:bottom w:val="none" w:sz="0" w:space="0" w:color="auto"/>
        <w:right w:val="none" w:sz="0" w:space="0" w:color="auto"/>
      </w:divBdr>
      <w:divsChild>
        <w:div w:id="2029019255">
          <w:marLeft w:val="0"/>
          <w:marRight w:val="0"/>
          <w:marTop w:val="0"/>
          <w:marBottom w:val="0"/>
          <w:divBdr>
            <w:top w:val="none" w:sz="0" w:space="0" w:color="auto"/>
            <w:left w:val="none" w:sz="0" w:space="0" w:color="auto"/>
            <w:bottom w:val="none" w:sz="0" w:space="0" w:color="auto"/>
            <w:right w:val="none" w:sz="0" w:space="0" w:color="auto"/>
          </w:divBdr>
          <w:divsChild>
            <w:div w:id="1055158596">
              <w:marLeft w:val="0"/>
              <w:marRight w:val="0"/>
              <w:marTop w:val="0"/>
              <w:marBottom w:val="0"/>
              <w:divBdr>
                <w:top w:val="none" w:sz="0" w:space="0" w:color="auto"/>
                <w:left w:val="none" w:sz="0" w:space="0" w:color="auto"/>
                <w:bottom w:val="none" w:sz="0" w:space="0" w:color="auto"/>
                <w:right w:val="none" w:sz="0" w:space="0" w:color="auto"/>
              </w:divBdr>
              <w:divsChild>
                <w:div w:id="96878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123682">
      <w:bodyDiv w:val="1"/>
      <w:marLeft w:val="0"/>
      <w:marRight w:val="0"/>
      <w:marTop w:val="0"/>
      <w:marBottom w:val="0"/>
      <w:divBdr>
        <w:top w:val="none" w:sz="0" w:space="0" w:color="auto"/>
        <w:left w:val="none" w:sz="0" w:space="0" w:color="auto"/>
        <w:bottom w:val="none" w:sz="0" w:space="0" w:color="auto"/>
        <w:right w:val="none" w:sz="0" w:space="0" w:color="auto"/>
      </w:divBdr>
      <w:divsChild>
        <w:div w:id="1719356790">
          <w:marLeft w:val="0"/>
          <w:marRight w:val="0"/>
          <w:marTop w:val="0"/>
          <w:marBottom w:val="0"/>
          <w:divBdr>
            <w:top w:val="none" w:sz="0" w:space="0" w:color="auto"/>
            <w:left w:val="none" w:sz="0" w:space="0" w:color="auto"/>
            <w:bottom w:val="none" w:sz="0" w:space="0" w:color="auto"/>
            <w:right w:val="none" w:sz="0" w:space="0" w:color="auto"/>
          </w:divBdr>
          <w:divsChild>
            <w:div w:id="1166558619">
              <w:marLeft w:val="0"/>
              <w:marRight w:val="0"/>
              <w:marTop w:val="0"/>
              <w:marBottom w:val="0"/>
              <w:divBdr>
                <w:top w:val="none" w:sz="0" w:space="0" w:color="auto"/>
                <w:left w:val="none" w:sz="0" w:space="0" w:color="auto"/>
                <w:bottom w:val="none" w:sz="0" w:space="0" w:color="auto"/>
                <w:right w:val="none" w:sz="0" w:space="0" w:color="auto"/>
              </w:divBdr>
              <w:divsChild>
                <w:div w:id="54456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4297">
      <w:bodyDiv w:val="1"/>
      <w:marLeft w:val="0"/>
      <w:marRight w:val="0"/>
      <w:marTop w:val="0"/>
      <w:marBottom w:val="0"/>
      <w:divBdr>
        <w:top w:val="none" w:sz="0" w:space="0" w:color="auto"/>
        <w:left w:val="none" w:sz="0" w:space="0" w:color="auto"/>
        <w:bottom w:val="none" w:sz="0" w:space="0" w:color="auto"/>
        <w:right w:val="none" w:sz="0" w:space="0" w:color="auto"/>
      </w:divBdr>
      <w:divsChild>
        <w:div w:id="1219515150">
          <w:marLeft w:val="0"/>
          <w:marRight w:val="0"/>
          <w:marTop w:val="0"/>
          <w:marBottom w:val="0"/>
          <w:divBdr>
            <w:top w:val="none" w:sz="0" w:space="0" w:color="auto"/>
            <w:left w:val="none" w:sz="0" w:space="0" w:color="auto"/>
            <w:bottom w:val="none" w:sz="0" w:space="0" w:color="auto"/>
            <w:right w:val="none" w:sz="0" w:space="0" w:color="auto"/>
          </w:divBdr>
          <w:divsChild>
            <w:div w:id="1802337194">
              <w:marLeft w:val="0"/>
              <w:marRight w:val="0"/>
              <w:marTop w:val="0"/>
              <w:marBottom w:val="0"/>
              <w:divBdr>
                <w:top w:val="none" w:sz="0" w:space="0" w:color="auto"/>
                <w:left w:val="none" w:sz="0" w:space="0" w:color="auto"/>
                <w:bottom w:val="none" w:sz="0" w:space="0" w:color="auto"/>
                <w:right w:val="none" w:sz="0" w:space="0" w:color="auto"/>
              </w:divBdr>
              <w:divsChild>
                <w:div w:id="189269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345004">
      <w:bodyDiv w:val="1"/>
      <w:marLeft w:val="0"/>
      <w:marRight w:val="0"/>
      <w:marTop w:val="0"/>
      <w:marBottom w:val="0"/>
      <w:divBdr>
        <w:top w:val="none" w:sz="0" w:space="0" w:color="auto"/>
        <w:left w:val="none" w:sz="0" w:space="0" w:color="auto"/>
        <w:bottom w:val="none" w:sz="0" w:space="0" w:color="auto"/>
        <w:right w:val="none" w:sz="0" w:space="0" w:color="auto"/>
      </w:divBdr>
    </w:div>
    <w:div w:id="1755128882">
      <w:bodyDiv w:val="1"/>
      <w:marLeft w:val="0"/>
      <w:marRight w:val="0"/>
      <w:marTop w:val="0"/>
      <w:marBottom w:val="0"/>
      <w:divBdr>
        <w:top w:val="none" w:sz="0" w:space="0" w:color="auto"/>
        <w:left w:val="none" w:sz="0" w:space="0" w:color="auto"/>
        <w:bottom w:val="none" w:sz="0" w:space="0" w:color="auto"/>
        <w:right w:val="none" w:sz="0" w:space="0" w:color="auto"/>
      </w:divBdr>
      <w:divsChild>
        <w:div w:id="357703845">
          <w:marLeft w:val="0"/>
          <w:marRight w:val="0"/>
          <w:marTop w:val="0"/>
          <w:marBottom w:val="0"/>
          <w:divBdr>
            <w:top w:val="none" w:sz="0" w:space="0" w:color="auto"/>
            <w:left w:val="none" w:sz="0" w:space="0" w:color="auto"/>
            <w:bottom w:val="none" w:sz="0" w:space="0" w:color="auto"/>
            <w:right w:val="none" w:sz="0" w:space="0" w:color="auto"/>
          </w:divBdr>
          <w:divsChild>
            <w:div w:id="2069182482">
              <w:marLeft w:val="0"/>
              <w:marRight w:val="0"/>
              <w:marTop w:val="0"/>
              <w:marBottom w:val="0"/>
              <w:divBdr>
                <w:top w:val="none" w:sz="0" w:space="0" w:color="auto"/>
                <w:left w:val="none" w:sz="0" w:space="0" w:color="auto"/>
                <w:bottom w:val="none" w:sz="0" w:space="0" w:color="auto"/>
                <w:right w:val="none" w:sz="0" w:space="0" w:color="auto"/>
              </w:divBdr>
              <w:divsChild>
                <w:div w:id="212017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823266">
      <w:bodyDiv w:val="1"/>
      <w:marLeft w:val="0"/>
      <w:marRight w:val="0"/>
      <w:marTop w:val="0"/>
      <w:marBottom w:val="0"/>
      <w:divBdr>
        <w:top w:val="none" w:sz="0" w:space="0" w:color="auto"/>
        <w:left w:val="none" w:sz="0" w:space="0" w:color="auto"/>
        <w:bottom w:val="none" w:sz="0" w:space="0" w:color="auto"/>
        <w:right w:val="none" w:sz="0" w:space="0" w:color="auto"/>
      </w:divBdr>
      <w:divsChild>
        <w:div w:id="1550066560">
          <w:marLeft w:val="0"/>
          <w:marRight w:val="0"/>
          <w:marTop w:val="0"/>
          <w:marBottom w:val="0"/>
          <w:divBdr>
            <w:top w:val="none" w:sz="0" w:space="0" w:color="auto"/>
            <w:left w:val="none" w:sz="0" w:space="0" w:color="auto"/>
            <w:bottom w:val="none" w:sz="0" w:space="0" w:color="auto"/>
            <w:right w:val="none" w:sz="0" w:space="0" w:color="auto"/>
          </w:divBdr>
          <w:divsChild>
            <w:div w:id="871576528">
              <w:marLeft w:val="0"/>
              <w:marRight w:val="0"/>
              <w:marTop w:val="0"/>
              <w:marBottom w:val="0"/>
              <w:divBdr>
                <w:top w:val="none" w:sz="0" w:space="0" w:color="auto"/>
                <w:left w:val="none" w:sz="0" w:space="0" w:color="auto"/>
                <w:bottom w:val="none" w:sz="0" w:space="0" w:color="auto"/>
                <w:right w:val="none" w:sz="0" w:space="0" w:color="auto"/>
              </w:divBdr>
              <w:divsChild>
                <w:div w:id="76631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61623">
      <w:bodyDiv w:val="1"/>
      <w:marLeft w:val="0"/>
      <w:marRight w:val="0"/>
      <w:marTop w:val="0"/>
      <w:marBottom w:val="0"/>
      <w:divBdr>
        <w:top w:val="none" w:sz="0" w:space="0" w:color="auto"/>
        <w:left w:val="none" w:sz="0" w:space="0" w:color="auto"/>
        <w:bottom w:val="none" w:sz="0" w:space="0" w:color="auto"/>
        <w:right w:val="none" w:sz="0" w:space="0" w:color="auto"/>
      </w:divBdr>
      <w:divsChild>
        <w:div w:id="1133671265">
          <w:marLeft w:val="0"/>
          <w:marRight w:val="0"/>
          <w:marTop w:val="0"/>
          <w:marBottom w:val="0"/>
          <w:divBdr>
            <w:top w:val="none" w:sz="0" w:space="0" w:color="auto"/>
            <w:left w:val="none" w:sz="0" w:space="0" w:color="auto"/>
            <w:bottom w:val="none" w:sz="0" w:space="0" w:color="auto"/>
            <w:right w:val="none" w:sz="0" w:space="0" w:color="auto"/>
          </w:divBdr>
          <w:divsChild>
            <w:div w:id="973409763">
              <w:marLeft w:val="0"/>
              <w:marRight w:val="0"/>
              <w:marTop w:val="0"/>
              <w:marBottom w:val="0"/>
              <w:divBdr>
                <w:top w:val="none" w:sz="0" w:space="0" w:color="auto"/>
                <w:left w:val="none" w:sz="0" w:space="0" w:color="auto"/>
                <w:bottom w:val="none" w:sz="0" w:space="0" w:color="auto"/>
                <w:right w:val="none" w:sz="0" w:space="0" w:color="auto"/>
              </w:divBdr>
              <w:divsChild>
                <w:div w:id="91698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998559">
      <w:bodyDiv w:val="1"/>
      <w:marLeft w:val="0"/>
      <w:marRight w:val="0"/>
      <w:marTop w:val="0"/>
      <w:marBottom w:val="0"/>
      <w:divBdr>
        <w:top w:val="none" w:sz="0" w:space="0" w:color="auto"/>
        <w:left w:val="none" w:sz="0" w:space="0" w:color="auto"/>
        <w:bottom w:val="none" w:sz="0" w:space="0" w:color="auto"/>
        <w:right w:val="none" w:sz="0" w:space="0" w:color="auto"/>
      </w:divBdr>
      <w:divsChild>
        <w:div w:id="1415784647">
          <w:marLeft w:val="0"/>
          <w:marRight w:val="0"/>
          <w:marTop w:val="0"/>
          <w:marBottom w:val="0"/>
          <w:divBdr>
            <w:top w:val="none" w:sz="0" w:space="0" w:color="auto"/>
            <w:left w:val="none" w:sz="0" w:space="0" w:color="auto"/>
            <w:bottom w:val="none" w:sz="0" w:space="0" w:color="auto"/>
            <w:right w:val="none" w:sz="0" w:space="0" w:color="auto"/>
          </w:divBdr>
          <w:divsChild>
            <w:div w:id="1329791485">
              <w:marLeft w:val="0"/>
              <w:marRight w:val="0"/>
              <w:marTop w:val="0"/>
              <w:marBottom w:val="0"/>
              <w:divBdr>
                <w:top w:val="none" w:sz="0" w:space="0" w:color="auto"/>
                <w:left w:val="none" w:sz="0" w:space="0" w:color="auto"/>
                <w:bottom w:val="none" w:sz="0" w:space="0" w:color="auto"/>
                <w:right w:val="none" w:sz="0" w:space="0" w:color="auto"/>
              </w:divBdr>
              <w:divsChild>
                <w:div w:id="124086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731372">
      <w:bodyDiv w:val="1"/>
      <w:marLeft w:val="0"/>
      <w:marRight w:val="0"/>
      <w:marTop w:val="0"/>
      <w:marBottom w:val="0"/>
      <w:divBdr>
        <w:top w:val="none" w:sz="0" w:space="0" w:color="auto"/>
        <w:left w:val="none" w:sz="0" w:space="0" w:color="auto"/>
        <w:bottom w:val="none" w:sz="0" w:space="0" w:color="auto"/>
        <w:right w:val="none" w:sz="0" w:space="0" w:color="auto"/>
      </w:divBdr>
    </w:div>
    <w:div w:id="2136945291">
      <w:bodyDiv w:val="1"/>
      <w:marLeft w:val="0"/>
      <w:marRight w:val="0"/>
      <w:marTop w:val="0"/>
      <w:marBottom w:val="0"/>
      <w:divBdr>
        <w:top w:val="none" w:sz="0" w:space="0" w:color="auto"/>
        <w:left w:val="none" w:sz="0" w:space="0" w:color="auto"/>
        <w:bottom w:val="none" w:sz="0" w:space="0" w:color="auto"/>
        <w:right w:val="none" w:sz="0" w:space="0" w:color="auto"/>
      </w:divBdr>
      <w:divsChild>
        <w:div w:id="1996444851">
          <w:marLeft w:val="0"/>
          <w:marRight w:val="0"/>
          <w:marTop w:val="0"/>
          <w:marBottom w:val="0"/>
          <w:divBdr>
            <w:top w:val="none" w:sz="0" w:space="0" w:color="auto"/>
            <w:left w:val="none" w:sz="0" w:space="0" w:color="auto"/>
            <w:bottom w:val="none" w:sz="0" w:space="0" w:color="auto"/>
            <w:right w:val="none" w:sz="0" w:space="0" w:color="auto"/>
          </w:divBdr>
          <w:divsChild>
            <w:div w:id="2071033901">
              <w:marLeft w:val="0"/>
              <w:marRight w:val="0"/>
              <w:marTop w:val="0"/>
              <w:marBottom w:val="0"/>
              <w:divBdr>
                <w:top w:val="none" w:sz="0" w:space="0" w:color="auto"/>
                <w:left w:val="none" w:sz="0" w:space="0" w:color="auto"/>
                <w:bottom w:val="none" w:sz="0" w:space="0" w:color="auto"/>
                <w:right w:val="none" w:sz="0" w:space="0" w:color="auto"/>
              </w:divBdr>
              <w:divsChild>
                <w:div w:id="108804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indianexpress.com/article/explained/explained-law/revised-criminal-reform-bills-in-parliament-what-changed-why-9066678/" TargetMode="External"/><Relationship Id="rId1" Type="http://schemas.openxmlformats.org/officeDocument/2006/relationships/hyperlink" Target="https://www.lawrbit.com/article/ipc-crpc-evidence-act-replaced-by-new-criminal-law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B8E6E-02ED-4D15-B457-A1A579A9F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9</Pages>
  <Words>3128</Words>
  <Characters>17835</Characters>
  <Application>Microsoft Office Word</Application>
  <DocSecurity>0</DocSecurity>
  <Lines>148</Lines>
  <Paragraphs>41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PARLIAMENTARY JOINT COMMITTEE ON DOWRY (1982)</vt:lpstr>
    </vt:vector>
  </TitlesOfParts>
  <Company>Grizli777</Company>
  <LinksUpToDate>false</LinksUpToDate>
  <CharactersWithSpaces>20922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Prerna</dc:creator>
  <cp:lastModifiedBy>DELL</cp:lastModifiedBy>
  <cp:revision>32</cp:revision>
  <cp:lastPrinted>2024-07-26T11:21:00Z</cp:lastPrinted>
  <dcterms:created xsi:type="dcterms:W3CDTF">2024-05-29T04:40:00Z</dcterms:created>
  <dcterms:modified xsi:type="dcterms:W3CDTF">2025-10-27T05:53:00Z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2024-07-21T18:01:03Z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54340e97-1b6b-44a9-8bcc-a8926078e0e1</vt:lpwstr>
  </property>
  <property fmtid="{D5CDD505-2E9C-101B-9397-08002B2CF9AE}" pid="7" name="MSIP_Label_defa4170-0d19-0005-0004-bc88714345d2_ActionId">
    <vt:lpwstr>229a5fb3-d30f-48d2-936e-ba7150f82cac</vt:lpwstr>
  </property>
  <property fmtid="{D5CDD505-2E9C-101B-9397-08002B2CF9AE}" pid="8" name="MSIP_Label_defa4170-0d19-0005-0004-bc88714345d2_ContentBits">
    <vt:lpwstr>0</vt:lpwstr>
  </property>
</Properties>
</file>